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26" w:type="dxa"/>
        <w:jc w:val="center"/>
        <w:tblLayout w:type="fixed"/>
        <w:tblLook w:val="04A0" w:firstRow="1" w:lastRow="0" w:firstColumn="1" w:lastColumn="0" w:noHBand="0" w:noVBand="1"/>
      </w:tblPr>
      <w:tblGrid>
        <w:gridCol w:w="1696"/>
        <w:gridCol w:w="6804"/>
        <w:gridCol w:w="3124"/>
        <w:gridCol w:w="2121"/>
        <w:gridCol w:w="1281"/>
      </w:tblGrid>
      <w:tr w:rsidR="005C5BCB" w:rsidRPr="00F26F0E" w14:paraId="60530B96" w14:textId="77777777" w:rsidTr="0005094F">
        <w:trPr>
          <w:jc w:val="center"/>
        </w:trPr>
        <w:tc>
          <w:tcPr>
            <w:tcW w:w="1696" w:type="dxa"/>
            <w:shd w:val="clear" w:color="auto" w:fill="FFFF00"/>
          </w:tcPr>
          <w:p w14:paraId="70CFE919" w14:textId="448E89E7" w:rsidR="005C5BCB" w:rsidRPr="00F26F0E" w:rsidRDefault="005C5BCB" w:rsidP="005C5BCB">
            <w:pPr>
              <w:rPr>
                <w:b/>
                <w:bCs/>
                <w:sz w:val="24"/>
                <w:szCs w:val="24"/>
              </w:rPr>
            </w:pPr>
            <w:r w:rsidRPr="00F26F0E">
              <w:rPr>
                <w:b/>
                <w:bCs/>
                <w:sz w:val="24"/>
                <w:szCs w:val="24"/>
              </w:rPr>
              <w:t>Request</w:t>
            </w:r>
          </w:p>
        </w:tc>
        <w:tc>
          <w:tcPr>
            <w:tcW w:w="6804" w:type="dxa"/>
            <w:shd w:val="clear" w:color="auto" w:fill="FFFF00"/>
          </w:tcPr>
          <w:p w14:paraId="387CF9DF" w14:textId="2B4D4D78" w:rsidR="005C5BCB" w:rsidRPr="00F26F0E" w:rsidRDefault="005C5BCB" w:rsidP="005C5BCB">
            <w:pPr>
              <w:rPr>
                <w:sz w:val="20"/>
                <w:szCs w:val="20"/>
              </w:rPr>
            </w:pPr>
            <w:r w:rsidRPr="00F26F0E">
              <w:rPr>
                <w:b/>
                <w:bCs/>
                <w:sz w:val="24"/>
                <w:szCs w:val="24"/>
              </w:rPr>
              <w:t>Conditions of approval: installation requirements</w:t>
            </w:r>
          </w:p>
        </w:tc>
        <w:tc>
          <w:tcPr>
            <w:tcW w:w="3124" w:type="dxa"/>
            <w:shd w:val="clear" w:color="auto" w:fill="FFFF00"/>
          </w:tcPr>
          <w:p w14:paraId="2D8AA7A5" w14:textId="4FA1B34F" w:rsidR="005C5BCB" w:rsidRPr="00F26F0E" w:rsidRDefault="005C5BCB" w:rsidP="005C5BCB">
            <w:pPr>
              <w:rPr>
                <w:b/>
                <w:bCs/>
                <w:sz w:val="20"/>
                <w:szCs w:val="20"/>
              </w:rPr>
            </w:pPr>
            <w:r w:rsidRPr="00F26F0E">
              <w:rPr>
                <w:b/>
                <w:bCs/>
                <w:sz w:val="24"/>
                <w:szCs w:val="24"/>
              </w:rPr>
              <w:t>Conditions of approval: Responsibility for maintenance</w:t>
            </w:r>
          </w:p>
        </w:tc>
        <w:tc>
          <w:tcPr>
            <w:tcW w:w="2121" w:type="dxa"/>
            <w:shd w:val="clear" w:color="auto" w:fill="FFFF00"/>
          </w:tcPr>
          <w:p w14:paraId="3B4E314B" w14:textId="0968B8D1" w:rsidR="005C5BCB" w:rsidRPr="00F26F0E" w:rsidRDefault="005C5BCB" w:rsidP="005C5BCB">
            <w:pPr>
              <w:rPr>
                <w:sz w:val="20"/>
                <w:szCs w:val="20"/>
              </w:rPr>
            </w:pPr>
            <w:r w:rsidRPr="00F26F0E">
              <w:rPr>
                <w:b/>
                <w:bCs/>
                <w:sz w:val="24"/>
                <w:szCs w:val="24"/>
              </w:rPr>
              <w:t>Reference to external guidance</w:t>
            </w:r>
          </w:p>
        </w:tc>
        <w:tc>
          <w:tcPr>
            <w:tcW w:w="1281" w:type="dxa"/>
            <w:shd w:val="clear" w:color="auto" w:fill="FFFF00"/>
          </w:tcPr>
          <w:p w14:paraId="41C5E79B" w14:textId="1186D89C" w:rsidR="005C5BCB" w:rsidRPr="00F26F0E" w:rsidRDefault="005C5BCB" w:rsidP="005C5BCB">
            <w:pPr>
              <w:rPr>
                <w:sz w:val="20"/>
                <w:szCs w:val="20"/>
              </w:rPr>
            </w:pPr>
            <w:r w:rsidRPr="00F26F0E">
              <w:rPr>
                <w:b/>
                <w:bCs/>
                <w:sz w:val="24"/>
                <w:szCs w:val="24"/>
              </w:rPr>
              <w:t>Once you have completed the work</w:t>
            </w:r>
          </w:p>
        </w:tc>
      </w:tr>
      <w:tr w:rsidR="009B5298" w:rsidRPr="00F26F0E" w14:paraId="61938E20" w14:textId="77777777" w:rsidTr="0005094F">
        <w:trPr>
          <w:jc w:val="center"/>
        </w:trPr>
        <w:tc>
          <w:tcPr>
            <w:tcW w:w="1696" w:type="dxa"/>
          </w:tcPr>
          <w:p w14:paraId="6CF05102" w14:textId="008D40D6" w:rsidR="009B5298" w:rsidRPr="0095529D" w:rsidRDefault="009B5298" w:rsidP="009B5298">
            <w:pPr>
              <w:rPr>
                <w:b/>
                <w:bCs/>
                <w:sz w:val="24"/>
                <w:szCs w:val="24"/>
              </w:rPr>
            </w:pPr>
            <w:r w:rsidRPr="0095529D">
              <w:rPr>
                <w:b/>
                <w:bCs/>
                <w:sz w:val="24"/>
                <w:szCs w:val="24"/>
              </w:rPr>
              <w:t>Ponds</w:t>
            </w:r>
          </w:p>
        </w:tc>
        <w:tc>
          <w:tcPr>
            <w:tcW w:w="6804" w:type="dxa"/>
          </w:tcPr>
          <w:p w14:paraId="45FCF256" w14:textId="5B876255" w:rsidR="009B5298" w:rsidRPr="0095529D" w:rsidRDefault="009B5298" w:rsidP="009B5298">
            <w:pPr>
              <w:rPr>
                <w:sz w:val="20"/>
                <w:szCs w:val="20"/>
              </w:rPr>
            </w:pPr>
            <w:r w:rsidRPr="0095529D">
              <w:rPr>
                <w:sz w:val="20"/>
                <w:szCs w:val="20"/>
              </w:rPr>
              <w:t xml:space="preserve">Planning permission may be required for some proposals, such as applications in conservation areas, </w:t>
            </w:r>
            <w:r w:rsidR="0005094F" w:rsidRPr="0095529D">
              <w:rPr>
                <w:sz w:val="20"/>
                <w:szCs w:val="20"/>
              </w:rPr>
              <w:t xml:space="preserve">within or close </w:t>
            </w:r>
            <w:r w:rsidRPr="0095529D">
              <w:rPr>
                <w:sz w:val="20"/>
                <w:szCs w:val="20"/>
              </w:rPr>
              <w:t xml:space="preserve">to </w:t>
            </w:r>
            <w:r w:rsidR="0005094F" w:rsidRPr="0095529D">
              <w:rPr>
                <w:sz w:val="20"/>
                <w:szCs w:val="20"/>
              </w:rPr>
              <w:t>designated statutory and non-statutory sites such as SSSIs, LNRS and Local Wildlife Sites (LWS)</w:t>
            </w:r>
            <w:r w:rsidR="002B78ED" w:rsidRPr="0095529D">
              <w:rPr>
                <w:sz w:val="20"/>
                <w:szCs w:val="20"/>
              </w:rPr>
              <w:t xml:space="preserve">, </w:t>
            </w:r>
            <w:r w:rsidR="0005094F" w:rsidRPr="0095529D">
              <w:rPr>
                <w:sz w:val="20"/>
                <w:szCs w:val="20"/>
              </w:rPr>
              <w:t>locations known to support</w:t>
            </w:r>
            <w:r w:rsidRPr="0095529D">
              <w:rPr>
                <w:sz w:val="20"/>
                <w:szCs w:val="20"/>
              </w:rPr>
              <w:t xml:space="preserve"> protected species, or </w:t>
            </w:r>
            <w:proofErr w:type="gramStart"/>
            <w:r w:rsidR="00040A74" w:rsidRPr="0095529D">
              <w:rPr>
                <w:sz w:val="20"/>
                <w:szCs w:val="20"/>
              </w:rPr>
              <w:t>as a result of</w:t>
            </w:r>
            <w:proofErr w:type="gramEnd"/>
            <w:r w:rsidR="00040A74" w:rsidRPr="0095529D">
              <w:rPr>
                <w:sz w:val="20"/>
                <w:szCs w:val="20"/>
              </w:rPr>
              <w:t xml:space="preserve"> their </w:t>
            </w:r>
            <w:r w:rsidRPr="0095529D">
              <w:rPr>
                <w:sz w:val="20"/>
                <w:szCs w:val="20"/>
              </w:rPr>
              <w:t>size and depth. If planning</w:t>
            </w:r>
            <w:r w:rsidR="0005094F" w:rsidRPr="0095529D">
              <w:rPr>
                <w:sz w:val="20"/>
                <w:szCs w:val="20"/>
              </w:rPr>
              <w:t xml:space="preserve"> permission</w:t>
            </w:r>
            <w:r w:rsidRPr="0095529D">
              <w:rPr>
                <w:sz w:val="20"/>
                <w:szCs w:val="20"/>
              </w:rPr>
              <w:t xml:space="preserve"> is required, the application will be the responsibility of the applicant to ensure it has been granted before requesting landlord’s permission via the fixtures and fittings team.</w:t>
            </w:r>
          </w:p>
          <w:p w14:paraId="13E9A79C" w14:textId="77777777" w:rsidR="009B5298" w:rsidRPr="0095529D" w:rsidRDefault="009B5298" w:rsidP="009B5298">
            <w:pPr>
              <w:rPr>
                <w:sz w:val="20"/>
                <w:szCs w:val="20"/>
              </w:rPr>
            </w:pPr>
          </w:p>
          <w:p w14:paraId="05CFCCDD" w14:textId="44B4DE5A" w:rsidR="009B5298" w:rsidRPr="0095529D" w:rsidRDefault="009B5298" w:rsidP="009B5298">
            <w:pPr>
              <w:rPr>
                <w:sz w:val="20"/>
                <w:szCs w:val="20"/>
              </w:rPr>
            </w:pPr>
            <w:r w:rsidRPr="0095529D">
              <w:rPr>
                <w:sz w:val="20"/>
                <w:szCs w:val="20"/>
              </w:rPr>
              <w:t xml:space="preserve">For any queries relating to planning or biodiversity, please contact the Planning Team or </w:t>
            </w:r>
            <w:r w:rsidR="0005094F" w:rsidRPr="0095529D">
              <w:rPr>
                <w:sz w:val="20"/>
                <w:szCs w:val="20"/>
              </w:rPr>
              <w:t>Councils Principal Ecologist</w:t>
            </w:r>
            <w:r w:rsidRPr="0095529D">
              <w:rPr>
                <w:sz w:val="20"/>
                <w:szCs w:val="20"/>
              </w:rPr>
              <w:t xml:space="preserve"> at North Tyneside Council.</w:t>
            </w:r>
          </w:p>
          <w:p w14:paraId="0FF2EED0" w14:textId="77777777" w:rsidR="009B5298" w:rsidRPr="0095529D" w:rsidRDefault="009B5298" w:rsidP="009B5298">
            <w:pPr>
              <w:rPr>
                <w:sz w:val="20"/>
                <w:szCs w:val="20"/>
              </w:rPr>
            </w:pPr>
          </w:p>
          <w:p w14:paraId="75C061B3" w14:textId="77777777" w:rsidR="009B5298" w:rsidRPr="0095529D" w:rsidRDefault="009B5298" w:rsidP="009B5298">
            <w:pPr>
              <w:rPr>
                <w:sz w:val="20"/>
                <w:szCs w:val="20"/>
              </w:rPr>
            </w:pPr>
            <w:r w:rsidRPr="0095529D">
              <w:rPr>
                <w:sz w:val="20"/>
                <w:szCs w:val="20"/>
              </w:rPr>
              <w:t>Small back garden ponds are allowed providing the following conditions are adhered to:</w:t>
            </w:r>
          </w:p>
          <w:p w14:paraId="7070FC72" w14:textId="1E97ED76" w:rsidR="009B5298" w:rsidRPr="0095529D" w:rsidRDefault="009B5298" w:rsidP="009B5298">
            <w:pPr>
              <w:pStyle w:val="ListParagraph"/>
              <w:numPr>
                <w:ilvl w:val="0"/>
                <w:numId w:val="5"/>
              </w:numPr>
              <w:rPr>
                <w:sz w:val="20"/>
                <w:szCs w:val="20"/>
              </w:rPr>
            </w:pPr>
            <w:r w:rsidRPr="0095529D">
              <w:rPr>
                <w:sz w:val="20"/>
                <w:szCs w:val="20"/>
              </w:rPr>
              <w:t xml:space="preserve">The pond shall not affect neighbouring property, footpaths, boundary treatments, designated </w:t>
            </w:r>
            <w:r w:rsidR="0005094F" w:rsidRPr="0095529D">
              <w:rPr>
                <w:sz w:val="20"/>
                <w:szCs w:val="20"/>
              </w:rPr>
              <w:t>wildlife sites (statutory or non-statutory),</w:t>
            </w:r>
            <w:r w:rsidRPr="0095529D">
              <w:rPr>
                <w:sz w:val="20"/>
                <w:szCs w:val="20"/>
              </w:rPr>
              <w:t xml:space="preserve"> drainage, watercourses</w:t>
            </w:r>
            <w:r w:rsidR="0005094F" w:rsidRPr="0095529D">
              <w:rPr>
                <w:sz w:val="20"/>
                <w:szCs w:val="20"/>
              </w:rPr>
              <w:t xml:space="preserve">, or result in the spread of invasive </w:t>
            </w:r>
            <w:r w:rsidR="0071078E" w:rsidRPr="0095529D">
              <w:rPr>
                <w:sz w:val="20"/>
                <w:szCs w:val="20"/>
              </w:rPr>
              <w:t xml:space="preserve">non-native </w:t>
            </w:r>
            <w:r w:rsidR="0005094F" w:rsidRPr="0095529D">
              <w:rPr>
                <w:sz w:val="20"/>
                <w:szCs w:val="20"/>
              </w:rPr>
              <w:t>species (INNS) as set out in Schedule 9 of the Wildlife &amp; Countryside Act (1981 as amended)</w:t>
            </w:r>
            <w:r w:rsidRPr="0095529D">
              <w:rPr>
                <w:sz w:val="20"/>
                <w:szCs w:val="20"/>
              </w:rPr>
              <w:t xml:space="preserve">. </w:t>
            </w:r>
          </w:p>
          <w:p w14:paraId="39919B53" w14:textId="77777777" w:rsidR="009B5298" w:rsidRPr="0095529D" w:rsidRDefault="009B5298" w:rsidP="009B5298">
            <w:pPr>
              <w:pStyle w:val="ListParagraph"/>
              <w:numPr>
                <w:ilvl w:val="0"/>
                <w:numId w:val="5"/>
              </w:numPr>
              <w:rPr>
                <w:sz w:val="20"/>
                <w:szCs w:val="20"/>
              </w:rPr>
            </w:pPr>
            <w:r w:rsidRPr="0095529D">
              <w:rPr>
                <w:sz w:val="20"/>
                <w:szCs w:val="20"/>
              </w:rPr>
              <w:t>Where necessary, planning permission is obtained.</w:t>
            </w:r>
          </w:p>
          <w:p w14:paraId="4E096B8D" w14:textId="3E510DCB" w:rsidR="00040A74" w:rsidRPr="0095529D" w:rsidRDefault="009B5298" w:rsidP="009B5298">
            <w:pPr>
              <w:pStyle w:val="ListParagraph"/>
              <w:numPr>
                <w:ilvl w:val="0"/>
                <w:numId w:val="5"/>
              </w:numPr>
              <w:rPr>
                <w:sz w:val="20"/>
                <w:szCs w:val="20"/>
              </w:rPr>
            </w:pPr>
            <w:r w:rsidRPr="0095529D">
              <w:rPr>
                <w:sz w:val="20"/>
                <w:szCs w:val="20"/>
              </w:rPr>
              <w:t xml:space="preserve">The pond design must be constructed </w:t>
            </w:r>
            <w:proofErr w:type="gramStart"/>
            <w:r w:rsidRPr="0095529D">
              <w:rPr>
                <w:sz w:val="20"/>
                <w:szCs w:val="20"/>
              </w:rPr>
              <w:t>so as to</w:t>
            </w:r>
            <w:proofErr w:type="gramEnd"/>
            <w:r w:rsidRPr="0095529D">
              <w:rPr>
                <w:sz w:val="20"/>
                <w:szCs w:val="20"/>
              </w:rPr>
              <w:t xml:space="preserve"> meet all relevant ecological and animal welfare consideration</w:t>
            </w:r>
            <w:r w:rsidR="00040A74" w:rsidRPr="0095529D">
              <w:rPr>
                <w:sz w:val="20"/>
                <w:szCs w:val="20"/>
              </w:rPr>
              <w:t>s</w:t>
            </w:r>
            <w:r w:rsidRPr="0095529D">
              <w:rPr>
                <w:sz w:val="20"/>
                <w:szCs w:val="20"/>
              </w:rPr>
              <w:t>. Applicants must make clear their intention of introducing wildlife to the pond.</w:t>
            </w:r>
            <w:r w:rsidR="0005094F" w:rsidRPr="0095529D">
              <w:rPr>
                <w:sz w:val="20"/>
                <w:szCs w:val="20"/>
              </w:rPr>
              <w:t xml:space="preserve"> Non-native plant or animal species </w:t>
            </w:r>
            <w:r w:rsidR="002B78ED" w:rsidRPr="0095529D">
              <w:rPr>
                <w:sz w:val="20"/>
                <w:szCs w:val="20"/>
              </w:rPr>
              <w:t>must</w:t>
            </w:r>
            <w:r w:rsidR="0005094F" w:rsidRPr="0095529D">
              <w:rPr>
                <w:sz w:val="20"/>
                <w:szCs w:val="20"/>
              </w:rPr>
              <w:t xml:space="preserve"> not be introduced into the pond. For </w:t>
            </w:r>
            <w:r w:rsidR="002B78ED" w:rsidRPr="0095529D">
              <w:rPr>
                <w:sz w:val="20"/>
                <w:szCs w:val="20"/>
              </w:rPr>
              <w:t xml:space="preserve">further </w:t>
            </w:r>
            <w:r w:rsidR="0005094F" w:rsidRPr="0095529D">
              <w:rPr>
                <w:sz w:val="20"/>
                <w:szCs w:val="20"/>
              </w:rPr>
              <w:t>guidance see</w:t>
            </w:r>
            <w:r w:rsidR="00040A74" w:rsidRPr="0095529D">
              <w:rPr>
                <w:sz w:val="20"/>
                <w:szCs w:val="20"/>
              </w:rPr>
              <w:t xml:space="preserve"> the </w:t>
            </w:r>
            <w:proofErr w:type="gramStart"/>
            <w:r w:rsidR="00040A74" w:rsidRPr="0095529D">
              <w:rPr>
                <w:sz w:val="20"/>
                <w:szCs w:val="20"/>
              </w:rPr>
              <w:t xml:space="preserve">following </w:t>
            </w:r>
            <w:r w:rsidR="0005094F" w:rsidRPr="0095529D">
              <w:rPr>
                <w:sz w:val="20"/>
                <w:szCs w:val="20"/>
              </w:rPr>
              <w:t>:</w:t>
            </w:r>
            <w:proofErr w:type="gramEnd"/>
            <w:r w:rsidR="0005094F" w:rsidRPr="0095529D">
              <w:t xml:space="preserve"> </w:t>
            </w:r>
          </w:p>
          <w:p w14:paraId="22008703" w14:textId="7BCEF7E8" w:rsidR="009B5298" w:rsidRPr="00AD20E8" w:rsidRDefault="00AD20E8" w:rsidP="00AD183B">
            <w:pPr>
              <w:pStyle w:val="ListParagraph"/>
              <w:ind w:left="170"/>
              <w:rPr>
                <w:color w:val="0070C0"/>
                <w:sz w:val="18"/>
                <w:szCs w:val="18"/>
              </w:rPr>
            </w:pPr>
            <w:hyperlink r:id="rId5" w:history="1">
              <w:r w:rsidR="0005094F" w:rsidRPr="00AD20E8">
                <w:rPr>
                  <w:color w:val="0070C0"/>
                  <w:sz w:val="20"/>
                  <w:szCs w:val="20"/>
                  <w:u w:val="single"/>
                </w:rPr>
                <w:t>Invasive Pond Plants to Avoid - Which plants can't you have in ponds? - Pond Expert</w:t>
              </w:r>
            </w:hyperlink>
          </w:p>
          <w:p w14:paraId="12C50A31" w14:textId="3D8F807F" w:rsidR="00040A74" w:rsidRPr="00AD20E8" w:rsidRDefault="00AD20E8" w:rsidP="00AD183B">
            <w:pPr>
              <w:pStyle w:val="ListParagraph"/>
              <w:ind w:left="170"/>
              <w:rPr>
                <w:color w:val="0070C0"/>
                <w:sz w:val="18"/>
                <w:szCs w:val="18"/>
              </w:rPr>
            </w:pPr>
            <w:hyperlink w:history="1">
              <w:r w:rsidR="00700166" w:rsidRPr="00AD20E8">
                <w:rPr>
                  <w:rStyle w:val="Hyperlink"/>
                  <w:color w:val="0070C0"/>
                  <w:sz w:val="20"/>
                  <w:szCs w:val="20"/>
                </w:rPr>
                <w:t>Invasive non-native (alien) plant species: rules in England and Wales - GOV.UK (www.gov.uk)</w:t>
              </w:r>
            </w:hyperlink>
          </w:p>
          <w:p w14:paraId="174B62D9" w14:textId="6B52D0BA" w:rsidR="00040A74" w:rsidRPr="00AD20E8" w:rsidRDefault="00AD20E8" w:rsidP="00AD183B">
            <w:pPr>
              <w:pStyle w:val="ListParagraph"/>
              <w:ind w:left="170"/>
              <w:rPr>
                <w:color w:val="0070C0"/>
                <w:sz w:val="18"/>
                <w:szCs w:val="18"/>
              </w:rPr>
            </w:pPr>
            <w:hyperlink w:history="1">
              <w:r w:rsidR="00700166" w:rsidRPr="00AD20E8">
                <w:rPr>
                  <w:rStyle w:val="Hyperlink"/>
                  <w:color w:val="0070C0"/>
                  <w:sz w:val="20"/>
                  <w:szCs w:val="20"/>
                </w:rPr>
                <w:t>Invasive non-native (alien) animal species: rules in England and Wales - GOV.UK (www.gov.uk)</w:t>
              </w:r>
            </w:hyperlink>
          </w:p>
          <w:p w14:paraId="7E62FD60" w14:textId="256C702D" w:rsidR="00FD4F5D" w:rsidRPr="00AD20E8" w:rsidRDefault="00AD20E8" w:rsidP="00AD183B">
            <w:pPr>
              <w:pStyle w:val="ListParagraph"/>
              <w:ind w:left="170"/>
              <w:rPr>
                <w:color w:val="0070C0"/>
                <w:sz w:val="18"/>
                <w:szCs w:val="18"/>
              </w:rPr>
            </w:pPr>
            <w:hyperlink r:id="rId6" w:history="1">
              <w:r w:rsidR="00FD4F5D" w:rsidRPr="00AD20E8">
                <w:rPr>
                  <w:color w:val="0070C0"/>
                  <w:sz w:val="20"/>
                  <w:szCs w:val="20"/>
                  <w:u w:val="single"/>
                </w:rPr>
                <w:t>Pond FAQs | Amphibian and Reptile Conservation (arc-trust.org)</w:t>
              </w:r>
            </w:hyperlink>
          </w:p>
          <w:p w14:paraId="094838FD" w14:textId="77777777" w:rsidR="009B5298" w:rsidRPr="0095529D" w:rsidRDefault="009B5298" w:rsidP="009B5298">
            <w:pPr>
              <w:pStyle w:val="ListParagraph"/>
              <w:numPr>
                <w:ilvl w:val="0"/>
                <w:numId w:val="5"/>
              </w:numPr>
              <w:rPr>
                <w:sz w:val="20"/>
                <w:szCs w:val="20"/>
              </w:rPr>
            </w:pPr>
            <w:r w:rsidRPr="0095529D">
              <w:rPr>
                <w:sz w:val="20"/>
                <w:szCs w:val="20"/>
              </w:rPr>
              <w:t>A pond liner or box is used.</w:t>
            </w:r>
          </w:p>
          <w:p w14:paraId="32BEEC8C" w14:textId="77777777" w:rsidR="009B5298" w:rsidRPr="0095529D" w:rsidRDefault="009B5298" w:rsidP="009B5298">
            <w:pPr>
              <w:pStyle w:val="ListParagraph"/>
              <w:numPr>
                <w:ilvl w:val="0"/>
                <w:numId w:val="5"/>
              </w:numPr>
              <w:rPr>
                <w:sz w:val="20"/>
                <w:szCs w:val="20"/>
              </w:rPr>
            </w:pPr>
            <w:r w:rsidRPr="0095529D">
              <w:rPr>
                <w:sz w:val="20"/>
                <w:szCs w:val="20"/>
              </w:rPr>
              <w:lastRenderedPageBreak/>
              <w:t>The installation meets the criteria allowed as Class E permitted development.</w:t>
            </w:r>
          </w:p>
          <w:p w14:paraId="618577E5" w14:textId="77777777" w:rsidR="009B5298" w:rsidRPr="0095529D" w:rsidRDefault="009B5298" w:rsidP="009B5298">
            <w:pPr>
              <w:pStyle w:val="ListParagraph"/>
              <w:numPr>
                <w:ilvl w:val="0"/>
                <w:numId w:val="5"/>
              </w:numPr>
              <w:rPr>
                <w:sz w:val="20"/>
                <w:szCs w:val="20"/>
              </w:rPr>
            </w:pPr>
            <w:r w:rsidRPr="0095529D">
              <w:rPr>
                <w:sz w:val="20"/>
                <w:szCs w:val="20"/>
              </w:rPr>
              <w:t>The pond shall not present a nuisance or hazard to neighbours, residents, or guests.</w:t>
            </w:r>
          </w:p>
          <w:p w14:paraId="58557F81" w14:textId="010492CC" w:rsidR="009B5298" w:rsidRPr="0095529D" w:rsidRDefault="009B5298" w:rsidP="009B5298">
            <w:pPr>
              <w:pStyle w:val="ListParagraph"/>
              <w:numPr>
                <w:ilvl w:val="0"/>
                <w:numId w:val="5"/>
              </w:numPr>
              <w:rPr>
                <w:sz w:val="20"/>
                <w:szCs w:val="20"/>
              </w:rPr>
            </w:pPr>
            <w:r w:rsidRPr="0095529D">
              <w:rPr>
                <w:sz w:val="20"/>
                <w:szCs w:val="20"/>
              </w:rPr>
              <w:t>The installation shall be no deeper than 300mm, with</w:t>
            </w:r>
            <w:r w:rsidR="002B78ED" w:rsidRPr="0095529D">
              <w:rPr>
                <w:sz w:val="20"/>
                <w:szCs w:val="20"/>
              </w:rPr>
              <w:t xml:space="preserve"> a</w:t>
            </w:r>
            <w:r w:rsidRPr="0095529D">
              <w:rPr>
                <w:sz w:val="20"/>
                <w:szCs w:val="20"/>
              </w:rPr>
              <w:t xml:space="preserve"> shallow end where amphibians </w:t>
            </w:r>
            <w:r w:rsidR="002B78ED" w:rsidRPr="0095529D">
              <w:rPr>
                <w:sz w:val="20"/>
                <w:szCs w:val="20"/>
              </w:rPr>
              <w:t xml:space="preserve">and other wildlife </w:t>
            </w:r>
            <w:r w:rsidRPr="0095529D">
              <w:rPr>
                <w:sz w:val="20"/>
                <w:szCs w:val="20"/>
              </w:rPr>
              <w:t>can easily enter or exit.</w:t>
            </w:r>
          </w:p>
          <w:p w14:paraId="6309669B" w14:textId="77777777" w:rsidR="009B5298" w:rsidRPr="0095529D" w:rsidRDefault="009B5298" w:rsidP="009B5298">
            <w:pPr>
              <w:pStyle w:val="ListParagraph"/>
              <w:numPr>
                <w:ilvl w:val="0"/>
                <w:numId w:val="5"/>
              </w:numPr>
              <w:rPr>
                <w:sz w:val="20"/>
                <w:szCs w:val="20"/>
              </w:rPr>
            </w:pPr>
            <w:r w:rsidRPr="0095529D">
              <w:rPr>
                <w:sz w:val="20"/>
                <w:szCs w:val="20"/>
              </w:rPr>
              <w:t>The pond shall be in the back garden or yard only.</w:t>
            </w:r>
          </w:p>
          <w:p w14:paraId="7AB233FA" w14:textId="77777777" w:rsidR="009B5298" w:rsidRPr="0095529D" w:rsidRDefault="009B5298" w:rsidP="009B5298">
            <w:pPr>
              <w:pStyle w:val="ListParagraph"/>
              <w:numPr>
                <w:ilvl w:val="0"/>
                <w:numId w:val="5"/>
              </w:numPr>
              <w:rPr>
                <w:sz w:val="20"/>
                <w:szCs w:val="20"/>
              </w:rPr>
            </w:pPr>
            <w:r w:rsidRPr="0095529D">
              <w:rPr>
                <w:sz w:val="20"/>
                <w:szCs w:val="20"/>
              </w:rPr>
              <w:t>There shall be a minimum distance of 2m away from any boundary treatment, footpath, or building or outbuilding to allow for safe access for maintenance and repairs.</w:t>
            </w:r>
          </w:p>
          <w:p w14:paraId="558CD85D" w14:textId="257342D6" w:rsidR="00FD4F5D" w:rsidRPr="0095529D" w:rsidRDefault="002B78ED" w:rsidP="00F7621B">
            <w:pPr>
              <w:pStyle w:val="ListParagraph"/>
              <w:numPr>
                <w:ilvl w:val="0"/>
                <w:numId w:val="5"/>
              </w:numPr>
              <w:rPr>
                <w:sz w:val="20"/>
                <w:szCs w:val="20"/>
              </w:rPr>
            </w:pPr>
            <w:r w:rsidRPr="0095529D">
              <w:rPr>
                <w:rFonts w:cstheme="minorHAnsi"/>
                <w:sz w:val="20"/>
                <w:szCs w:val="20"/>
              </w:rPr>
              <w:t>Ponds should be retained wherever possible for biodiversity purposes. Where there is a request to remove a pond, this would be assessed on an individual basis and if approved, t</w:t>
            </w:r>
            <w:r w:rsidR="009B5298" w:rsidRPr="0095529D">
              <w:rPr>
                <w:sz w:val="20"/>
                <w:szCs w:val="20"/>
              </w:rPr>
              <w:t>he tenant will be responsible for the correct infilling</w:t>
            </w:r>
            <w:r w:rsidRPr="0095529D">
              <w:rPr>
                <w:sz w:val="20"/>
                <w:szCs w:val="20"/>
              </w:rPr>
              <w:t>/removal</w:t>
            </w:r>
            <w:r w:rsidR="009B5298" w:rsidRPr="0095529D">
              <w:rPr>
                <w:sz w:val="20"/>
                <w:szCs w:val="20"/>
              </w:rPr>
              <w:t xml:space="preserve"> of the pond. This may require planning permission</w:t>
            </w:r>
            <w:r w:rsidR="00040A74" w:rsidRPr="0095529D">
              <w:rPr>
                <w:sz w:val="20"/>
                <w:szCs w:val="20"/>
              </w:rPr>
              <w:t xml:space="preserve"> </w:t>
            </w:r>
            <w:r w:rsidR="00AD183B" w:rsidRPr="0095529D">
              <w:rPr>
                <w:sz w:val="20"/>
                <w:szCs w:val="20"/>
              </w:rPr>
              <w:t>and appropriate</w:t>
            </w:r>
            <w:r w:rsidR="00040A74" w:rsidRPr="0095529D">
              <w:rPr>
                <w:sz w:val="20"/>
                <w:szCs w:val="20"/>
              </w:rPr>
              <w:t xml:space="preserve"> ecological checks and </w:t>
            </w:r>
            <w:r w:rsidR="00AD20E8" w:rsidRPr="0095529D">
              <w:rPr>
                <w:sz w:val="20"/>
                <w:szCs w:val="20"/>
              </w:rPr>
              <w:t>measures in</w:t>
            </w:r>
            <w:r w:rsidR="00040A74" w:rsidRPr="0095529D">
              <w:rPr>
                <w:sz w:val="20"/>
                <w:szCs w:val="20"/>
              </w:rPr>
              <w:t xml:space="preserve"> place to avoid impacts on wildlife, particularly protected and priority species and to avoid the spread of invasive non-native species if present in the pond. </w:t>
            </w:r>
            <w:r w:rsidR="00F7621B" w:rsidRPr="0095529D">
              <w:rPr>
                <w:sz w:val="20"/>
                <w:szCs w:val="20"/>
              </w:rPr>
              <w:t xml:space="preserve">If Infilling of a pond </w:t>
            </w:r>
            <w:proofErr w:type="gramStart"/>
            <w:r w:rsidR="00F7621B" w:rsidRPr="0095529D">
              <w:rPr>
                <w:sz w:val="20"/>
                <w:szCs w:val="20"/>
              </w:rPr>
              <w:t>has to</w:t>
            </w:r>
            <w:proofErr w:type="gramEnd"/>
            <w:r w:rsidR="00F7621B" w:rsidRPr="0095529D">
              <w:rPr>
                <w:sz w:val="20"/>
                <w:szCs w:val="20"/>
              </w:rPr>
              <w:t xml:space="preserve"> be carried out, it should be </w:t>
            </w:r>
            <w:r w:rsidR="00FD4F5D" w:rsidRPr="0095529D">
              <w:rPr>
                <w:rFonts w:cstheme="minorHAnsi"/>
                <w:color w:val="444444"/>
                <w:sz w:val="20"/>
                <w:szCs w:val="20"/>
                <w:shd w:val="clear" w:color="auto" w:fill="FFFFFF"/>
              </w:rPr>
              <w:t xml:space="preserve">undertaken in autumn when there will be </w:t>
            </w:r>
            <w:r w:rsidR="00F7621B" w:rsidRPr="0095529D">
              <w:rPr>
                <w:rFonts w:cstheme="minorHAnsi"/>
                <w:color w:val="444444"/>
                <w:sz w:val="20"/>
                <w:szCs w:val="20"/>
                <w:shd w:val="clear" w:color="auto" w:fill="FFFFFF"/>
              </w:rPr>
              <w:t>less impacts</w:t>
            </w:r>
            <w:r w:rsidR="00FD4F5D" w:rsidRPr="0095529D">
              <w:rPr>
                <w:rFonts w:cstheme="minorHAnsi"/>
                <w:color w:val="444444"/>
                <w:sz w:val="20"/>
                <w:szCs w:val="20"/>
                <w:shd w:val="clear" w:color="auto" w:fill="FFFFFF"/>
              </w:rPr>
              <w:t xml:space="preserve"> and </w:t>
            </w:r>
            <w:r w:rsidR="00F7621B" w:rsidRPr="0095529D">
              <w:rPr>
                <w:rFonts w:cstheme="minorHAnsi"/>
                <w:color w:val="444444"/>
                <w:sz w:val="20"/>
                <w:szCs w:val="20"/>
                <w:shd w:val="clear" w:color="auto" w:fill="FFFFFF"/>
              </w:rPr>
              <w:t>works</w:t>
            </w:r>
            <w:r w:rsidR="00FD4F5D" w:rsidRPr="0095529D">
              <w:rPr>
                <w:rFonts w:cstheme="minorHAnsi"/>
                <w:color w:val="444444"/>
                <w:sz w:val="20"/>
                <w:szCs w:val="20"/>
                <w:shd w:val="clear" w:color="auto" w:fill="FFFFFF"/>
              </w:rPr>
              <w:t xml:space="preserve"> </w:t>
            </w:r>
            <w:r w:rsidR="00F7621B" w:rsidRPr="0095529D">
              <w:rPr>
                <w:rFonts w:cstheme="minorHAnsi"/>
                <w:color w:val="444444"/>
                <w:sz w:val="20"/>
                <w:szCs w:val="20"/>
                <w:shd w:val="clear" w:color="auto" w:fill="FFFFFF"/>
              </w:rPr>
              <w:t xml:space="preserve">completed </w:t>
            </w:r>
            <w:r w:rsidR="00FD4F5D" w:rsidRPr="0095529D">
              <w:rPr>
                <w:rFonts w:cstheme="minorHAnsi"/>
                <w:color w:val="444444"/>
                <w:sz w:val="20"/>
                <w:szCs w:val="20"/>
                <w:shd w:val="clear" w:color="auto" w:fill="FFFFFF"/>
              </w:rPr>
              <w:t>in one go - do not leave a drained, empty pond as this can trap amphibians and other wildlife.</w:t>
            </w:r>
            <w:r w:rsidR="00FD4F5D" w:rsidRPr="0095529D">
              <w:rPr>
                <w:rFonts w:ascii="Lato" w:hAnsi="Lato"/>
                <w:color w:val="444444"/>
                <w:sz w:val="27"/>
                <w:szCs w:val="27"/>
                <w:shd w:val="clear" w:color="auto" w:fill="FFFFFF"/>
              </w:rPr>
              <w:t xml:space="preserve"> </w:t>
            </w:r>
            <w:r w:rsidR="00FD4F5D" w:rsidRPr="0095529D">
              <w:rPr>
                <w:rStyle w:val="Strong"/>
                <w:rFonts w:cstheme="minorHAnsi"/>
                <w:color w:val="444444"/>
                <w:sz w:val="20"/>
                <w:szCs w:val="20"/>
                <w:shd w:val="clear" w:color="auto" w:fill="FFFFFF"/>
              </w:rPr>
              <w:t>Do not</w:t>
            </w:r>
            <w:r w:rsidR="00FD4F5D" w:rsidRPr="0095529D">
              <w:rPr>
                <w:rFonts w:cstheme="minorHAnsi"/>
                <w:color w:val="444444"/>
                <w:sz w:val="20"/>
                <w:szCs w:val="20"/>
                <w:shd w:val="clear" w:color="auto" w:fill="FFFFFF"/>
              </w:rPr>
              <w:t> release spawn or tadpoles into a public water body (reservoirs, lakes/ponds in nature reserves or wildlife sites) without permission.</w:t>
            </w:r>
            <w:r w:rsidR="00FD4F5D" w:rsidRPr="0095529D">
              <w:rPr>
                <w:rFonts w:cstheme="minorHAnsi"/>
                <w:sz w:val="20"/>
                <w:szCs w:val="20"/>
              </w:rPr>
              <w:t xml:space="preserve"> </w:t>
            </w:r>
            <w:r w:rsidR="00FD4F5D" w:rsidRPr="0095529D">
              <w:rPr>
                <w:rFonts w:cstheme="minorHAnsi"/>
                <w:color w:val="444444"/>
                <w:sz w:val="20"/>
                <w:szCs w:val="20"/>
                <w:shd w:val="clear" w:color="auto" w:fill="FFFFFF"/>
              </w:rPr>
              <w:t xml:space="preserve">Movement of some species, if protected or considered damaging to native wildlife, is illegal under the Wildlife and Countryside Act 1981. Transferring fish and some amphibians may also require a licence or consent. Moving plants and animals between ponds is not recommended as this risks accidentally spreading various invasive plants and diseases. </w:t>
            </w:r>
          </w:p>
          <w:p w14:paraId="2A855546" w14:textId="7185990B" w:rsidR="00700166" w:rsidRDefault="00AD20E8" w:rsidP="00700166">
            <w:pPr>
              <w:pStyle w:val="ListParagraph"/>
              <w:ind w:left="170"/>
              <w:rPr>
                <w:color w:val="0000FF"/>
                <w:u w:val="single"/>
              </w:rPr>
            </w:pPr>
            <w:hyperlink r:id="rId7" w:anchor="Filling" w:history="1">
              <w:r w:rsidR="00700166" w:rsidRPr="00AD20E8">
                <w:rPr>
                  <w:color w:val="0070C0"/>
                  <w:u w:val="single"/>
                </w:rPr>
                <w:t>Pond FAQs | Amphibian and Reptile Conservation (arc-trust.org)</w:t>
              </w:r>
            </w:hyperlink>
          </w:p>
          <w:p w14:paraId="624D39C6" w14:textId="77777777" w:rsidR="00AD20E8" w:rsidRPr="0095529D" w:rsidRDefault="00AD20E8" w:rsidP="00700166">
            <w:pPr>
              <w:pStyle w:val="ListParagraph"/>
              <w:ind w:left="170"/>
              <w:rPr>
                <w:sz w:val="20"/>
                <w:szCs w:val="20"/>
              </w:rPr>
            </w:pPr>
          </w:p>
          <w:p w14:paraId="6CB7DCAF" w14:textId="08AF03C6" w:rsidR="009B5298" w:rsidRPr="0095529D" w:rsidRDefault="009B5298" w:rsidP="009B5298">
            <w:pPr>
              <w:pStyle w:val="ListParagraph"/>
              <w:numPr>
                <w:ilvl w:val="0"/>
                <w:numId w:val="5"/>
              </w:numPr>
              <w:rPr>
                <w:sz w:val="20"/>
                <w:szCs w:val="20"/>
              </w:rPr>
            </w:pPr>
            <w:r w:rsidRPr="0095529D">
              <w:rPr>
                <w:sz w:val="20"/>
                <w:szCs w:val="20"/>
              </w:rPr>
              <w:t xml:space="preserve">The cost of installation, repair, maintenance, and decommissioning will be borne by the tenant. The tenant applicant will be liable for any damage or injury </w:t>
            </w:r>
            <w:r w:rsidR="00AD20E8">
              <w:rPr>
                <w:sz w:val="20"/>
                <w:szCs w:val="20"/>
              </w:rPr>
              <w:t xml:space="preserve">that results </w:t>
            </w:r>
            <w:proofErr w:type="gramStart"/>
            <w:r w:rsidRPr="0095529D">
              <w:rPr>
                <w:sz w:val="20"/>
                <w:szCs w:val="20"/>
              </w:rPr>
              <w:t>as a consequence of</w:t>
            </w:r>
            <w:proofErr w:type="gramEnd"/>
            <w:r w:rsidRPr="0095529D">
              <w:rPr>
                <w:sz w:val="20"/>
                <w:szCs w:val="20"/>
              </w:rPr>
              <w:t xml:space="preserve"> the installation</w:t>
            </w:r>
            <w:r w:rsidR="00AD20E8">
              <w:rPr>
                <w:sz w:val="20"/>
                <w:szCs w:val="20"/>
              </w:rPr>
              <w:t>; all efforts should be made to ensure the installation is safe.</w:t>
            </w:r>
          </w:p>
          <w:p w14:paraId="649A2699" w14:textId="0E45A120" w:rsidR="009B5298" w:rsidRPr="0095529D" w:rsidRDefault="009B5298" w:rsidP="009B5298">
            <w:pPr>
              <w:pStyle w:val="ListParagraph"/>
              <w:numPr>
                <w:ilvl w:val="0"/>
                <w:numId w:val="5"/>
              </w:numPr>
              <w:rPr>
                <w:sz w:val="20"/>
                <w:szCs w:val="20"/>
              </w:rPr>
            </w:pPr>
            <w:r w:rsidRPr="0095529D">
              <w:rPr>
                <w:sz w:val="20"/>
                <w:szCs w:val="20"/>
              </w:rPr>
              <w:t xml:space="preserve">Any damage </w:t>
            </w:r>
            <w:r w:rsidR="00AD183B">
              <w:rPr>
                <w:sz w:val="20"/>
                <w:szCs w:val="20"/>
              </w:rPr>
              <w:t>due to</w:t>
            </w:r>
            <w:r w:rsidRPr="0095529D">
              <w:rPr>
                <w:sz w:val="20"/>
                <w:szCs w:val="20"/>
              </w:rPr>
              <w:t xml:space="preserve"> the installation shall be repaired by the tenant, or repaired by NTC and the tenant will bear the cost.</w:t>
            </w:r>
          </w:p>
          <w:p w14:paraId="08C7B3B2" w14:textId="51781771" w:rsidR="009B5298" w:rsidRPr="0095529D" w:rsidRDefault="00F7621B" w:rsidP="009B5298">
            <w:pPr>
              <w:pStyle w:val="ListParagraph"/>
              <w:numPr>
                <w:ilvl w:val="0"/>
                <w:numId w:val="5"/>
              </w:numPr>
              <w:rPr>
                <w:sz w:val="20"/>
                <w:szCs w:val="20"/>
              </w:rPr>
            </w:pPr>
            <w:r w:rsidRPr="0095529D">
              <w:rPr>
                <w:sz w:val="20"/>
                <w:szCs w:val="20"/>
              </w:rPr>
              <w:lastRenderedPageBreak/>
              <w:t xml:space="preserve">Where the pond </w:t>
            </w:r>
            <w:r w:rsidR="00AD183B" w:rsidRPr="0095529D">
              <w:rPr>
                <w:sz w:val="20"/>
                <w:szCs w:val="20"/>
              </w:rPr>
              <w:t>must</w:t>
            </w:r>
            <w:r w:rsidRPr="0095529D">
              <w:rPr>
                <w:sz w:val="20"/>
                <w:szCs w:val="20"/>
              </w:rPr>
              <w:t xml:space="preserve"> be removed, t</w:t>
            </w:r>
            <w:r w:rsidR="009B5298" w:rsidRPr="0095529D">
              <w:rPr>
                <w:sz w:val="20"/>
                <w:szCs w:val="20"/>
              </w:rPr>
              <w:t>he installation must be returned to its original state on termination of the tenancy and the cost for the removal and remedial work will be borne by the tenant.</w:t>
            </w:r>
          </w:p>
          <w:p w14:paraId="70456DA8" w14:textId="77777777" w:rsidR="009B5298" w:rsidRPr="0095529D" w:rsidRDefault="009B5298" w:rsidP="009B5298">
            <w:pPr>
              <w:pStyle w:val="ListParagraph"/>
              <w:numPr>
                <w:ilvl w:val="0"/>
                <w:numId w:val="5"/>
              </w:numPr>
              <w:rPr>
                <w:sz w:val="20"/>
                <w:szCs w:val="20"/>
              </w:rPr>
            </w:pPr>
            <w:r w:rsidRPr="0095529D">
              <w:rPr>
                <w:sz w:val="20"/>
                <w:szCs w:val="20"/>
              </w:rPr>
              <w:t>Permission may be rescinded should the installation fall into disrepair or cause nuisance to other residents.</w:t>
            </w:r>
          </w:p>
          <w:p w14:paraId="35575647" w14:textId="77777777" w:rsidR="009B5298" w:rsidRPr="0095529D" w:rsidRDefault="009B5298" w:rsidP="009B5298">
            <w:pPr>
              <w:rPr>
                <w:sz w:val="20"/>
                <w:szCs w:val="20"/>
              </w:rPr>
            </w:pPr>
          </w:p>
        </w:tc>
        <w:tc>
          <w:tcPr>
            <w:tcW w:w="3124" w:type="dxa"/>
            <w:shd w:val="clear" w:color="auto" w:fill="auto"/>
          </w:tcPr>
          <w:p w14:paraId="5B4218B3" w14:textId="77777777" w:rsidR="009B5298" w:rsidRPr="0095529D" w:rsidRDefault="009B5298" w:rsidP="009B5298">
            <w:pPr>
              <w:spacing w:line="259" w:lineRule="auto"/>
              <w:rPr>
                <w:b/>
                <w:bCs/>
                <w:sz w:val="20"/>
                <w:szCs w:val="20"/>
              </w:rPr>
            </w:pPr>
            <w:r w:rsidRPr="0095529D">
              <w:rPr>
                <w:b/>
                <w:bCs/>
                <w:sz w:val="20"/>
                <w:szCs w:val="20"/>
              </w:rPr>
              <w:lastRenderedPageBreak/>
              <w:t>TENANT.</w:t>
            </w:r>
          </w:p>
          <w:p w14:paraId="11BA80D1" w14:textId="77777777" w:rsidR="009B5298" w:rsidRPr="0095529D" w:rsidRDefault="009B5298" w:rsidP="009B5298">
            <w:pPr>
              <w:spacing w:line="259" w:lineRule="auto"/>
              <w:rPr>
                <w:sz w:val="20"/>
                <w:szCs w:val="20"/>
              </w:rPr>
            </w:pPr>
            <w:r w:rsidRPr="0095529D">
              <w:rPr>
                <w:sz w:val="20"/>
                <w:szCs w:val="20"/>
              </w:rPr>
              <w:t>Condition of approval requires that the tenant applicant is solely responsible for maintenance, related upkeep, and decommissioning of the installation.</w:t>
            </w:r>
          </w:p>
          <w:p w14:paraId="3AEC9A15" w14:textId="77777777" w:rsidR="009B5298" w:rsidRPr="0095529D" w:rsidRDefault="009B5298" w:rsidP="009B5298">
            <w:pPr>
              <w:spacing w:line="259" w:lineRule="auto"/>
              <w:rPr>
                <w:sz w:val="20"/>
                <w:szCs w:val="20"/>
              </w:rPr>
            </w:pPr>
            <w:r w:rsidRPr="0095529D">
              <w:rPr>
                <w:sz w:val="20"/>
                <w:szCs w:val="20"/>
              </w:rPr>
              <w:t>Permission for the installation may be rescinded if the tenant fails to maintain the installation, allowing risk to people, property, or environment. Any remedial work undertaken by North Tyneside Council may be recharged to the tenant.</w:t>
            </w:r>
          </w:p>
          <w:p w14:paraId="14E667BF" w14:textId="21DFEE66" w:rsidR="009B5298" w:rsidRPr="0095529D" w:rsidRDefault="009B5298" w:rsidP="009B5298">
            <w:pPr>
              <w:rPr>
                <w:b/>
                <w:bCs/>
                <w:sz w:val="20"/>
                <w:szCs w:val="20"/>
              </w:rPr>
            </w:pPr>
            <w:r w:rsidRPr="0095529D">
              <w:rPr>
                <w:sz w:val="20"/>
                <w:szCs w:val="20"/>
              </w:rPr>
              <w:t>The installation of a pond does not qualify under the Compensation for Improvements Regulations.</w:t>
            </w:r>
          </w:p>
        </w:tc>
        <w:tc>
          <w:tcPr>
            <w:tcW w:w="2121" w:type="dxa"/>
          </w:tcPr>
          <w:p w14:paraId="1B2FC694" w14:textId="7ED03DC9" w:rsidR="009B5298" w:rsidRPr="0095529D" w:rsidRDefault="009B5298" w:rsidP="009B5298">
            <w:pPr>
              <w:rPr>
                <w:sz w:val="20"/>
                <w:szCs w:val="20"/>
              </w:rPr>
            </w:pPr>
            <w:r w:rsidRPr="0095529D">
              <w:rPr>
                <w:sz w:val="20"/>
                <w:szCs w:val="20"/>
              </w:rPr>
              <w:t xml:space="preserve">North Tyneside Council </w:t>
            </w:r>
            <w:r w:rsidR="0005094F" w:rsidRPr="0095529D">
              <w:rPr>
                <w:sz w:val="20"/>
                <w:szCs w:val="20"/>
              </w:rPr>
              <w:t>Principal Ecologists:</w:t>
            </w:r>
          </w:p>
          <w:p w14:paraId="52EC7DC9" w14:textId="77777777" w:rsidR="00AD20E8" w:rsidRDefault="009B5298" w:rsidP="009B5298">
            <w:pPr>
              <w:rPr>
                <w:sz w:val="20"/>
                <w:szCs w:val="20"/>
              </w:rPr>
            </w:pPr>
            <w:r w:rsidRPr="0095529D">
              <w:rPr>
                <w:sz w:val="20"/>
                <w:szCs w:val="20"/>
              </w:rPr>
              <w:t>0191 219 2388</w:t>
            </w:r>
          </w:p>
          <w:p w14:paraId="10525E4F" w14:textId="20A772D1" w:rsidR="00AD20E8" w:rsidRDefault="009B5298" w:rsidP="009B5298">
            <w:pPr>
              <w:rPr>
                <w:rStyle w:val="Hyperlink"/>
                <w:sz w:val="20"/>
                <w:szCs w:val="20"/>
              </w:rPr>
            </w:pPr>
            <w:r w:rsidRPr="0095529D">
              <w:rPr>
                <w:sz w:val="20"/>
                <w:szCs w:val="20"/>
              </w:rPr>
              <w:br/>
            </w:r>
            <w:hyperlink r:id="rId8" w:history="1">
              <w:r w:rsidRPr="0095529D">
                <w:rPr>
                  <w:rStyle w:val="Hyperlink"/>
                  <w:sz w:val="20"/>
                  <w:szCs w:val="20"/>
                </w:rPr>
                <w:t>jackie.hunter@northtyneside.gov.uk</w:t>
              </w:r>
            </w:hyperlink>
          </w:p>
          <w:p w14:paraId="592CA449" w14:textId="77777777" w:rsidR="00AD20E8" w:rsidRDefault="00AD20E8" w:rsidP="009B5298">
            <w:pPr>
              <w:rPr>
                <w:rStyle w:val="Hyperlink"/>
                <w:sz w:val="20"/>
                <w:szCs w:val="20"/>
              </w:rPr>
            </w:pPr>
          </w:p>
          <w:p w14:paraId="6CEDFFEE" w14:textId="42F8ADB4" w:rsidR="0005094F" w:rsidRPr="0095529D" w:rsidRDefault="0005094F" w:rsidP="009B5298">
            <w:pPr>
              <w:rPr>
                <w:color w:val="0563C1" w:themeColor="hyperlink"/>
                <w:sz w:val="20"/>
                <w:szCs w:val="20"/>
                <w:u w:val="single"/>
              </w:rPr>
            </w:pPr>
            <w:r w:rsidRPr="0095529D">
              <w:rPr>
                <w:rStyle w:val="Hyperlink"/>
              </w:rPr>
              <w:t>derek.hiltonbrown@northtyneside.gov.uk</w:t>
            </w:r>
          </w:p>
          <w:p w14:paraId="7D8D3B89" w14:textId="77777777" w:rsidR="009B5298" w:rsidRPr="0095529D" w:rsidRDefault="009B5298" w:rsidP="009B5298">
            <w:pPr>
              <w:rPr>
                <w:sz w:val="20"/>
                <w:szCs w:val="20"/>
              </w:rPr>
            </w:pPr>
          </w:p>
          <w:p w14:paraId="2E31E9F0" w14:textId="77777777" w:rsidR="009B5298" w:rsidRPr="0095529D" w:rsidRDefault="00AD20E8" w:rsidP="009B5298">
            <w:pPr>
              <w:rPr>
                <w:rStyle w:val="Hyperlink"/>
                <w:sz w:val="20"/>
                <w:szCs w:val="20"/>
              </w:rPr>
            </w:pPr>
            <w:hyperlink r:id="rId9" w:history="1">
              <w:r w:rsidR="009B5298" w:rsidRPr="0095529D">
                <w:rPr>
                  <w:rStyle w:val="Hyperlink"/>
                  <w:sz w:val="20"/>
                  <w:szCs w:val="20"/>
                </w:rPr>
                <w:t>North Tyneside Planning</w:t>
              </w:r>
            </w:hyperlink>
          </w:p>
          <w:p w14:paraId="4BE856B5" w14:textId="77777777" w:rsidR="009B5298" w:rsidRPr="0095529D" w:rsidRDefault="009B5298" w:rsidP="009B5298">
            <w:pPr>
              <w:rPr>
                <w:rStyle w:val="Hyperlink"/>
                <w:sz w:val="20"/>
                <w:szCs w:val="20"/>
              </w:rPr>
            </w:pPr>
          </w:p>
          <w:p w14:paraId="2B533246" w14:textId="77777777" w:rsidR="009B5298" w:rsidRPr="0095529D" w:rsidRDefault="00AD20E8" w:rsidP="009B5298">
            <w:pPr>
              <w:rPr>
                <w:rStyle w:val="Hyperlink"/>
                <w:sz w:val="20"/>
                <w:szCs w:val="20"/>
              </w:rPr>
            </w:pPr>
            <w:hyperlink r:id="rId10" w:history="1">
              <w:r w:rsidR="009B5298" w:rsidRPr="0095529D">
                <w:rPr>
                  <w:rStyle w:val="Hyperlink"/>
                  <w:sz w:val="20"/>
                  <w:szCs w:val="20"/>
                </w:rPr>
                <w:t>Class E - Permitted Development Guidance</w:t>
              </w:r>
            </w:hyperlink>
          </w:p>
          <w:p w14:paraId="1A636EC7" w14:textId="77777777" w:rsidR="009B5298" w:rsidRDefault="009B5298" w:rsidP="009B5298">
            <w:pPr>
              <w:rPr>
                <w:sz w:val="20"/>
                <w:szCs w:val="20"/>
              </w:rPr>
            </w:pPr>
          </w:p>
          <w:p w14:paraId="6626D816" w14:textId="26C97F92" w:rsidR="00AD183B" w:rsidRPr="0095529D" w:rsidRDefault="00AD183B" w:rsidP="009B5298">
            <w:pPr>
              <w:rPr>
                <w:sz w:val="20"/>
                <w:szCs w:val="20"/>
              </w:rPr>
            </w:pPr>
          </w:p>
        </w:tc>
        <w:tc>
          <w:tcPr>
            <w:tcW w:w="1281" w:type="dxa"/>
          </w:tcPr>
          <w:p w14:paraId="7B3CABB1" w14:textId="27170CFB" w:rsidR="009B5298" w:rsidRPr="0095529D" w:rsidRDefault="009B5298" w:rsidP="009B5298">
            <w:pPr>
              <w:rPr>
                <w:sz w:val="20"/>
                <w:szCs w:val="20"/>
              </w:rPr>
            </w:pPr>
            <w:r w:rsidRPr="0095529D">
              <w:rPr>
                <w:sz w:val="20"/>
                <w:szCs w:val="20"/>
              </w:rPr>
              <w:t>Please email us with the completion details, any necessary certificates and warranty details. We may contact you to carry out a post-inspection.</w:t>
            </w:r>
          </w:p>
        </w:tc>
      </w:tr>
    </w:tbl>
    <w:p w14:paraId="5A785AB3" w14:textId="77777777" w:rsidR="002905F6" w:rsidRDefault="002905F6"/>
    <w:sectPr w:rsidR="002905F6" w:rsidSect="00EF3D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1828"/>
    <w:multiLevelType w:val="hybridMultilevel"/>
    <w:tmpl w:val="C532888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 w15:restartNumberingAfterBreak="0">
    <w:nsid w:val="142F10C7"/>
    <w:multiLevelType w:val="multilevel"/>
    <w:tmpl w:val="172AF2D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CEB2ACC"/>
    <w:multiLevelType w:val="multilevel"/>
    <w:tmpl w:val="70BA2F18"/>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E8165D4"/>
    <w:multiLevelType w:val="multilevel"/>
    <w:tmpl w:val="37F89E10"/>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346E87"/>
    <w:multiLevelType w:val="multilevel"/>
    <w:tmpl w:val="5B7633BC"/>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5C6102"/>
    <w:multiLevelType w:val="hybridMultilevel"/>
    <w:tmpl w:val="C2EED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F3929"/>
    <w:multiLevelType w:val="multilevel"/>
    <w:tmpl w:val="48A2C592"/>
    <w:lvl w:ilvl="0">
      <w:start w:val="1"/>
      <w:numFmt w:val="bullet"/>
      <w:lvlText w:val=""/>
      <w:lvlJc w:val="left"/>
      <w:pPr>
        <w:ind w:left="170" w:hanging="17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87714086">
    <w:abstractNumId w:val="6"/>
  </w:num>
  <w:num w:numId="2" w16cid:durableId="458495598">
    <w:abstractNumId w:val="3"/>
  </w:num>
  <w:num w:numId="3" w16cid:durableId="1444424399">
    <w:abstractNumId w:val="1"/>
  </w:num>
  <w:num w:numId="4" w16cid:durableId="78645151">
    <w:abstractNumId w:val="2"/>
  </w:num>
  <w:num w:numId="5" w16cid:durableId="1731150866">
    <w:abstractNumId w:val="4"/>
  </w:num>
  <w:num w:numId="6" w16cid:durableId="1615667696">
    <w:abstractNumId w:val="5"/>
  </w:num>
  <w:num w:numId="7" w16cid:durableId="13996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2F"/>
    <w:rsid w:val="00040A74"/>
    <w:rsid w:val="0005094F"/>
    <w:rsid w:val="001F41E9"/>
    <w:rsid w:val="00287821"/>
    <w:rsid w:val="00290045"/>
    <w:rsid w:val="002905F6"/>
    <w:rsid w:val="002B78ED"/>
    <w:rsid w:val="002D66BE"/>
    <w:rsid w:val="00510D01"/>
    <w:rsid w:val="005C5BCB"/>
    <w:rsid w:val="00655705"/>
    <w:rsid w:val="00700166"/>
    <w:rsid w:val="0071078E"/>
    <w:rsid w:val="00811F2F"/>
    <w:rsid w:val="009378EC"/>
    <w:rsid w:val="0095529D"/>
    <w:rsid w:val="009B5298"/>
    <w:rsid w:val="00A746DE"/>
    <w:rsid w:val="00AD183B"/>
    <w:rsid w:val="00AD20E8"/>
    <w:rsid w:val="00E329A3"/>
    <w:rsid w:val="00EF3DC0"/>
    <w:rsid w:val="00F7621B"/>
    <w:rsid w:val="00F905BA"/>
    <w:rsid w:val="00FD4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FBF"/>
  <w15:chartTrackingRefBased/>
  <w15:docId w15:val="{7D2F8484-89CD-4234-94EA-5AC2123A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F2F"/>
    <w:rPr>
      <w:color w:val="0563C1" w:themeColor="hyperlink"/>
      <w:u w:val="single"/>
    </w:rPr>
  </w:style>
  <w:style w:type="paragraph" w:styleId="ListParagraph">
    <w:name w:val="List Paragraph"/>
    <w:basedOn w:val="Normal"/>
    <w:uiPriority w:val="34"/>
    <w:qFormat/>
    <w:rsid w:val="00F905BA"/>
    <w:pPr>
      <w:ind w:left="720"/>
      <w:contextualSpacing/>
    </w:pPr>
  </w:style>
  <w:style w:type="character" w:styleId="FollowedHyperlink">
    <w:name w:val="FollowedHyperlink"/>
    <w:basedOn w:val="DefaultParagraphFont"/>
    <w:uiPriority w:val="99"/>
    <w:semiHidden/>
    <w:unhideWhenUsed/>
    <w:rsid w:val="005C5BCB"/>
    <w:rPr>
      <w:color w:val="954F72" w:themeColor="followedHyperlink"/>
      <w:u w:val="single"/>
    </w:rPr>
  </w:style>
  <w:style w:type="character" w:styleId="UnresolvedMention">
    <w:name w:val="Unresolved Mention"/>
    <w:basedOn w:val="DefaultParagraphFont"/>
    <w:uiPriority w:val="99"/>
    <w:semiHidden/>
    <w:unhideWhenUsed/>
    <w:rsid w:val="00040A74"/>
    <w:rPr>
      <w:color w:val="605E5C"/>
      <w:shd w:val="clear" w:color="auto" w:fill="E1DFDD"/>
    </w:rPr>
  </w:style>
  <w:style w:type="character" w:styleId="Strong">
    <w:name w:val="Strong"/>
    <w:basedOn w:val="DefaultParagraphFont"/>
    <w:uiPriority w:val="22"/>
    <w:qFormat/>
    <w:rsid w:val="00FD4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ie.hunter@northtyneside.gov.uk" TargetMode="External"/><Relationship Id="rId3" Type="http://schemas.openxmlformats.org/officeDocument/2006/relationships/settings" Target="settings.xml"/><Relationship Id="rId7" Type="http://schemas.openxmlformats.org/officeDocument/2006/relationships/hyperlink" Target="https://www.arc-trust.org/pond-faq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trust.org/pond-faqs" TargetMode="External"/><Relationship Id="rId11" Type="http://schemas.openxmlformats.org/officeDocument/2006/relationships/fontTable" Target="fontTable.xml"/><Relationship Id="rId5" Type="http://schemas.openxmlformats.org/officeDocument/2006/relationships/hyperlink" Target="https://pondexpert.co.uk/invasive-plants-avoid/" TargetMode="External"/><Relationship Id="rId10" Type="http://schemas.openxmlformats.org/officeDocument/2006/relationships/hyperlink" Target="https://assets.publishing.service.gov.uk/media/5d77afc8e5274a27cdb2c9e9/190910_Tech_Guide_for_publishing.pdf" TargetMode="External"/><Relationship Id="rId4" Type="http://schemas.openxmlformats.org/officeDocument/2006/relationships/webSettings" Target="webSettings.xml"/><Relationship Id="rId9" Type="http://schemas.openxmlformats.org/officeDocument/2006/relationships/hyperlink" Target="https://my.northtyneside.gov.uk/category/915/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dc:description/>
  <cp:lastModifiedBy>Richard Burns</cp:lastModifiedBy>
  <cp:revision>12</cp:revision>
  <dcterms:created xsi:type="dcterms:W3CDTF">2024-05-02T10:45:00Z</dcterms:created>
  <dcterms:modified xsi:type="dcterms:W3CDTF">2024-05-13T09:40:00Z</dcterms:modified>
</cp:coreProperties>
</file>