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X="-714" w:tblpY="-540"/>
        <w:tblW w:w="15740" w:type="dxa"/>
        <w:tblLayout w:type="fixed"/>
        <w:tblLook w:val="04A0" w:firstRow="1" w:lastRow="0" w:firstColumn="1" w:lastColumn="0" w:noHBand="0" w:noVBand="1"/>
      </w:tblPr>
      <w:tblGrid>
        <w:gridCol w:w="1980"/>
        <w:gridCol w:w="7234"/>
        <w:gridCol w:w="3124"/>
        <w:gridCol w:w="1984"/>
        <w:gridCol w:w="1418"/>
      </w:tblGrid>
      <w:tr w:rsidR="00655705" w:rsidRPr="00F26F0E" w14:paraId="362356BC" w14:textId="77777777" w:rsidTr="006D3ED5">
        <w:tc>
          <w:tcPr>
            <w:tcW w:w="1980" w:type="dxa"/>
            <w:shd w:val="clear" w:color="auto" w:fill="FFFF00"/>
          </w:tcPr>
          <w:p w14:paraId="2921181B" w14:textId="5C0B0AD4" w:rsidR="00655705" w:rsidRPr="00655705" w:rsidRDefault="00655705" w:rsidP="006D3ED5">
            <w:pPr>
              <w:rPr>
                <w:b/>
                <w:bCs/>
                <w:sz w:val="24"/>
                <w:szCs w:val="24"/>
              </w:rPr>
            </w:pPr>
            <w:r w:rsidRPr="00655705">
              <w:rPr>
                <w:b/>
                <w:bCs/>
                <w:sz w:val="24"/>
                <w:szCs w:val="24"/>
              </w:rPr>
              <w:t>Request</w:t>
            </w:r>
          </w:p>
        </w:tc>
        <w:tc>
          <w:tcPr>
            <w:tcW w:w="7234" w:type="dxa"/>
            <w:shd w:val="clear" w:color="auto" w:fill="FFFF00"/>
          </w:tcPr>
          <w:p w14:paraId="75A68811" w14:textId="2EAB553D" w:rsidR="00655705" w:rsidRPr="00655705" w:rsidRDefault="00655705" w:rsidP="006D3ED5">
            <w:pPr>
              <w:rPr>
                <w:b/>
                <w:bCs/>
                <w:sz w:val="24"/>
                <w:szCs w:val="24"/>
              </w:rPr>
            </w:pPr>
            <w:r w:rsidRPr="00655705">
              <w:rPr>
                <w:b/>
                <w:bCs/>
                <w:sz w:val="24"/>
                <w:szCs w:val="24"/>
              </w:rPr>
              <w:t>Conditions of approval: installation requirements</w:t>
            </w:r>
          </w:p>
        </w:tc>
        <w:tc>
          <w:tcPr>
            <w:tcW w:w="3124" w:type="dxa"/>
            <w:shd w:val="clear" w:color="auto" w:fill="FFFF00"/>
          </w:tcPr>
          <w:p w14:paraId="10BEE03A" w14:textId="7DF1C00D" w:rsidR="00655705" w:rsidRPr="00655705" w:rsidRDefault="00655705" w:rsidP="006D3ED5">
            <w:pPr>
              <w:rPr>
                <w:b/>
                <w:bCs/>
                <w:sz w:val="24"/>
                <w:szCs w:val="24"/>
              </w:rPr>
            </w:pPr>
            <w:r w:rsidRPr="00655705">
              <w:rPr>
                <w:b/>
                <w:bCs/>
                <w:sz w:val="24"/>
                <w:szCs w:val="24"/>
              </w:rPr>
              <w:t>Conditions of approval: Responsibility for maintenance</w:t>
            </w:r>
          </w:p>
        </w:tc>
        <w:tc>
          <w:tcPr>
            <w:tcW w:w="1984" w:type="dxa"/>
            <w:shd w:val="clear" w:color="auto" w:fill="FFFF00"/>
          </w:tcPr>
          <w:p w14:paraId="05ACC1DA" w14:textId="3E61AA15" w:rsidR="00655705" w:rsidRPr="00655705" w:rsidRDefault="00655705" w:rsidP="006D3ED5">
            <w:pPr>
              <w:rPr>
                <w:b/>
                <w:bCs/>
                <w:sz w:val="24"/>
                <w:szCs w:val="24"/>
              </w:rPr>
            </w:pPr>
            <w:r w:rsidRPr="00655705">
              <w:rPr>
                <w:b/>
                <w:bCs/>
                <w:sz w:val="24"/>
                <w:szCs w:val="24"/>
              </w:rPr>
              <w:t>Reference to external guidance</w:t>
            </w:r>
          </w:p>
        </w:tc>
        <w:tc>
          <w:tcPr>
            <w:tcW w:w="1418" w:type="dxa"/>
            <w:shd w:val="clear" w:color="auto" w:fill="FFFF00"/>
          </w:tcPr>
          <w:p w14:paraId="4F958530" w14:textId="43C6CF1B" w:rsidR="00655705" w:rsidRPr="00655705" w:rsidRDefault="00655705" w:rsidP="006D3ED5">
            <w:pPr>
              <w:rPr>
                <w:b/>
                <w:bCs/>
                <w:sz w:val="24"/>
                <w:szCs w:val="24"/>
              </w:rPr>
            </w:pPr>
            <w:r w:rsidRPr="00655705">
              <w:rPr>
                <w:b/>
                <w:bCs/>
                <w:sz w:val="24"/>
                <w:szCs w:val="24"/>
              </w:rPr>
              <w:t>Once you have completed the work</w:t>
            </w:r>
          </w:p>
        </w:tc>
      </w:tr>
      <w:tr w:rsidR="009378EC" w:rsidRPr="00F26F0E" w14:paraId="13F3B12C" w14:textId="77777777" w:rsidTr="006D3ED5">
        <w:tc>
          <w:tcPr>
            <w:tcW w:w="1980" w:type="dxa"/>
          </w:tcPr>
          <w:p w14:paraId="4EE8612E" w14:textId="77777777" w:rsidR="009378EC" w:rsidRPr="00F26F0E" w:rsidRDefault="009378EC" w:rsidP="006D3ED5">
            <w:pPr>
              <w:spacing w:line="259" w:lineRule="auto"/>
              <w:rPr>
                <w:b/>
                <w:bCs/>
                <w:sz w:val="24"/>
                <w:szCs w:val="24"/>
              </w:rPr>
            </w:pPr>
            <w:r w:rsidRPr="00F26F0E">
              <w:rPr>
                <w:b/>
                <w:bCs/>
                <w:sz w:val="24"/>
                <w:szCs w:val="24"/>
              </w:rPr>
              <w:t>Painting – external doors, windows, fences, walls</w:t>
            </w:r>
          </w:p>
        </w:tc>
        <w:tc>
          <w:tcPr>
            <w:tcW w:w="7234" w:type="dxa"/>
          </w:tcPr>
          <w:p w14:paraId="6358CB88" w14:textId="43A72E8B" w:rsidR="00F905BA" w:rsidRPr="00F905BA" w:rsidRDefault="00F905BA" w:rsidP="00BF39EC">
            <w:pPr>
              <w:pStyle w:val="ListParagraph"/>
              <w:numPr>
                <w:ilvl w:val="0"/>
                <w:numId w:val="3"/>
              </w:numPr>
              <w:spacing w:line="259" w:lineRule="auto"/>
              <w:rPr>
                <w:sz w:val="20"/>
                <w:szCs w:val="20"/>
              </w:rPr>
            </w:pPr>
            <w:r w:rsidRPr="00F905BA">
              <w:rPr>
                <w:sz w:val="20"/>
                <w:szCs w:val="20"/>
              </w:rPr>
              <w:t>All external painting needs permission.</w:t>
            </w:r>
          </w:p>
          <w:p w14:paraId="43E4EF7D" w14:textId="39D60A60" w:rsidR="009378EC" w:rsidRDefault="009378EC" w:rsidP="00BF39EC">
            <w:pPr>
              <w:numPr>
                <w:ilvl w:val="0"/>
                <w:numId w:val="3"/>
              </w:numPr>
              <w:spacing w:line="259" w:lineRule="auto"/>
              <w:rPr>
                <w:sz w:val="20"/>
                <w:szCs w:val="20"/>
              </w:rPr>
            </w:pPr>
            <w:r>
              <w:rPr>
                <w:sz w:val="20"/>
                <w:szCs w:val="20"/>
              </w:rPr>
              <w:t xml:space="preserve">North Tyneside Council do not allow the painting of any unpainted external masonry or brickwork to the principal building relating to the tenancy. Please note that unsuitable paint or paint applied to areas that should not be painted can affect property damp and condensation levels, promote mould growth, and damage brick and stonework. </w:t>
            </w:r>
          </w:p>
          <w:p w14:paraId="1880AFAB" w14:textId="49DB7E30" w:rsidR="00BF39EC" w:rsidRDefault="00BF39EC" w:rsidP="00BF39EC">
            <w:pPr>
              <w:numPr>
                <w:ilvl w:val="0"/>
                <w:numId w:val="3"/>
              </w:numPr>
              <w:spacing w:line="259" w:lineRule="auto"/>
              <w:rPr>
                <w:sz w:val="20"/>
                <w:szCs w:val="20"/>
              </w:rPr>
            </w:pPr>
            <w:r>
              <w:rPr>
                <w:sz w:val="20"/>
                <w:szCs w:val="20"/>
              </w:rPr>
              <w:t xml:space="preserve">Work must be of a good </w:t>
            </w:r>
            <w:r w:rsidR="00C85B48">
              <w:rPr>
                <w:sz w:val="20"/>
                <w:szCs w:val="20"/>
              </w:rPr>
              <w:t>standard.</w:t>
            </w:r>
          </w:p>
          <w:p w14:paraId="7443DAA5" w14:textId="7D142634" w:rsidR="00C85B48" w:rsidRDefault="00C85B48" w:rsidP="00BF39EC">
            <w:pPr>
              <w:numPr>
                <w:ilvl w:val="0"/>
                <w:numId w:val="3"/>
              </w:numPr>
              <w:spacing w:line="259" w:lineRule="auto"/>
              <w:rPr>
                <w:sz w:val="20"/>
                <w:szCs w:val="20"/>
              </w:rPr>
            </w:pPr>
            <w:r>
              <w:rPr>
                <w:sz w:val="20"/>
                <w:szCs w:val="20"/>
              </w:rPr>
              <w:t>Any damage or poor workmanship must be corrected in line with the Tenancy Agreement.</w:t>
            </w:r>
          </w:p>
          <w:p w14:paraId="40C456B7" w14:textId="3B08E970" w:rsidR="009378EC" w:rsidRPr="00F26F0E" w:rsidRDefault="009378EC" w:rsidP="00BF39EC">
            <w:pPr>
              <w:numPr>
                <w:ilvl w:val="0"/>
                <w:numId w:val="3"/>
              </w:numPr>
              <w:spacing w:line="259" w:lineRule="auto"/>
              <w:rPr>
                <w:sz w:val="20"/>
                <w:szCs w:val="20"/>
              </w:rPr>
            </w:pPr>
            <w:r w:rsidRPr="00F26F0E">
              <w:rPr>
                <w:sz w:val="20"/>
                <w:szCs w:val="20"/>
              </w:rPr>
              <w:t xml:space="preserve">Approval of any application requires compliance with Regulation 7 of the Building Regulations that stipulates all building </w:t>
            </w:r>
            <w:r w:rsidR="006D3ED5">
              <w:rPr>
                <w:sz w:val="20"/>
                <w:szCs w:val="20"/>
              </w:rPr>
              <w:t xml:space="preserve">work </w:t>
            </w:r>
            <w:r w:rsidRPr="00F26F0E">
              <w:rPr>
                <w:sz w:val="20"/>
                <w:szCs w:val="20"/>
              </w:rPr>
              <w:t>shall be carried out:</w:t>
            </w:r>
          </w:p>
          <w:p w14:paraId="473F8F2F" w14:textId="77777777" w:rsidR="009378EC" w:rsidRPr="00F26F0E" w:rsidRDefault="009378EC" w:rsidP="00BF39EC">
            <w:pPr>
              <w:spacing w:line="259" w:lineRule="auto"/>
              <w:rPr>
                <w:sz w:val="20"/>
                <w:szCs w:val="20"/>
              </w:rPr>
            </w:pPr>
          </w:p>
          <w:p w14:paraId="6C64DCB5" w14:textId="77777777" w:rsidR="009378EC" w:rsidRPr="00F26F0E" w:rsidRDefault="009378EC" w:rsidP="00BF39EC">
            <w:pPr>
              <w:spacing w:line="259" w:lineRule="auto"/>
              <w:rPr>
                <w:sz w:val="20"/>
                <w:szCs w:val="20"/>
              </w:rPr>
            </w:pPr>
            <w:r w:rsidRPr="00F26F0E">
              <w:rPr>
                <w:sz w:val="20"/>
                <w:szCs w:val="20"/>
              </w:rPr>
              <w:t>(a) with proper materials which are appropriate for the circumstances in which they are used; and</w:t>
            </w:r>
          </w:p>
          <w:p w14:paraId="7473F566" w14:textId="77777777" w:rsidR="009378EC" w:rsidRPr="00F26F0E" w:rsidRDefault="009378EC" w:rsidP="00BF39EC">
            <w:pPr>
              <w:spacing w:line="259" w:lineRule="auto"/>
              <w:rPr>
                <w:sz w:val="20"/>
                <w:szCs w:val="20"/>
              </w:rPr>
            </w:pPr>
            <w:r w:rsidRPr="00F26F0E">
              <w:rPr>
                <w:sz w:val="20"/>
                <w:szCs w:val="20"/>
              </w:rPr>
              <w:t>(b) in a workmanlike manner</w:t>
            </w:r>
          </w:p>
          <w:p w14:paraId="6102F184" w14:textId="77777777" w:rsidR="00D55400" w:rsidRDefault="00D55400" w:rsidP="00BF39EC">
            <w:pPr>
              <w:spacing w:line="259" w:lineRule="auto"/>
              <w:rPr>
                <w:sz w:val="20"/>
                <w:szCs w:val="20"/>
              </w:rPr>
            </w:pPr>
          </w:p>
          <w:p w14:paraId="527B5B9C" w14:textId="494E4FDD" w:rsidR="00BF39EC" w:rsidRPr="00BF39EC" w:rsidRDefault="00BF39EC" w:rsidP="00BF39EC">
            <w:pPr>
              <w:spacing w:line="259" w:lineRule="auto"/>
              <w:rPr>
                <w:b/>
                <w:bCs/>
                <w:sz w:val="20"/>
                <w:szCs w:val="20"/>
              </w:rPr>
            </w:pPr>
            <w:r w:rsidRPr="00BF39EC">
              <w:rPr>
                <w:b/>
                <w:bCs/>
                <w:sz w:val="20"/>
                <w:szCs w:val="20"/>
              </w:rPr>
              <w:t>Fire doors</w:t>
            </w:r>
          </w:p>
          <w:p w14:paraId="2A75138E" w14:textId="77777777" w:rsidR="00BF39EC" w:rsidRDefault="00D55400" w:rsidP="00BF39EC">
            <w:pPr>
              <w:pStyle w:val="ListParagraph"/>
              <w:numPr>
                <w:ilvl w:val="0"/>
                <w:numId w:val="5"/>
              </w:numPr>
              <w:rPr>
                <w:sz w:val="20"/>
                <w:szCs w:val="20"/>
              </w:rPr>
            </w:pPr>
            <w:r>
              <w:rPr>
                <w:sz w:val="20"/>
                <w:szCs w:val="20"/>
              </w:rPr>
              <w:t xml:space="preserve">When painting fire doors, </w:t>
            </w:r>
            <w:r w:rsidR="006D3ED5">
              <w:rPr>
                <w:sz w:val="20"/>
                <w:szCs w:val="20"/>
              </w:rPr>
              <w:t>cold smoke seals</w:t>
            </w:r>
            <w:r w:rsidR="00BF39EC">
              <w:rPr>
                <w:sz w:val="20"/>
                <w:szCs w:val="20"/>
              </w:rPr>
              <w:t xml:space="preserve"> must not be painted.</w:t>
            </w:r>
          </w:p>
          <w:p w14:paraId="5584A70D" w14:textId="78DBFC90" w:rsidR="00BF39EC" w:rsidRPr="00BF39EC" w:rsidRDefault="00BF39EC" w:rsidP="00BF39EC">
            <w:pPr>
              <w:pStyle w:val="ListParagraph"/>
              <w:numPr>
                <w:ilvl w:val="0"/>
                <w:numId w:val="5"/>
              </w:numPr>
              <w:rPr>
                <w:sz w:val="20"/>
                <w:szCs w:val="20"/>
              </w:rPr>
            </w:pPr>
            <w:r w:rsidRPr="00BF39EC">
              <w:rPr>
                <w:sz w:val="20"/>
                <w:szCs w:val="20"/>
              </w:rPr>
              <w:t>Due to the risk of damage, we do not allow overpainting of intumescent strips.</w:t>
            </w:r>
          </w:p>
          <w:p w14:paraId="60D6BE78" w14:textId="65CC607E" w:rsidR="00D55400" w:rsidRDefault="00D55400" w:rsidP="00BF39EC">
            <w:pPr>
              <w:pStyle w:val="ListParagraph"/>
              <w:numPr>
                <w:ilvl w:val="0"/>
                <w:numId w:val="5"/>
              </w:numPr>
              <w:rPr>
                <w:sz w:val="20"/>
                <w:szCs w:val="20"/>
              </w:rPr>
            </w:pPr>
            <w:r>
              <w:rPr>
                <w:sz w:val="20"/>
                <w:szCs w:val="20"/>
              </w:rPr>
              <w:t xml:space="preserve">Paint must not be applied excessively </w:t>
            </w:r>
            <w:proofErr w:type="gramStart"/>
            <w:r>
              <w:rPr>
                <w:sz w:val="20"/>
                <w:szCs w:val="20"/>
              </w:rPr>
              <w:t>so as to</w:t>
            </w:r>
            <w:proofErr w:type="gramEnd"/>
            <w:r>
              <w:rPr>
                <w:sz w:val="20"/>
                <w:szCs w:val="20"/>
              </w:rPr>
              <w:t xml:space="preserve"> </w:t>
            </w:r>
            <w:r w:rsidR="006D3ED5">
              <w:rPr>
                <w:sz w:val="20"/>
                <w:szCs w:val="20"/>
              </w:rPr>
              <w:t>create</w:t>
            </w:r>
            <w:r>
              <w:rPr>
                <w:sz w:val="20"/>
                <w:szCs w:val="20"/>
              </w:rPr>
              <w:t xml:space="preserve"> a hazard in the event of a fire; if overpainting, old paint must be sanded to eliminate an excessively thick coat of paint.</w:t>
            </w:r>
          </w:p>
          <w:p w14:paraId="2D2F2C38" w14:textId="72C1A68D" w:rsidR="00D55400" w:rsidRDefault="00D55400" w:rsidP="00BF39EC">
            <w:pPr>
              <w:pStyle w:val="ListParagraph"/>
              <w:numPr>
                <w:ilvl w:val="0"/>
                <w:numId w:val="5"/>
              </w:numPr>
              <w:rPr>
                <w:sz w:val="20"/>
                <w:szCs w:val="20"/>
              </w:rPr>
            </w:pPr>
            <w:r>
              <w:rPr>
                <w:sz w:val="20"/>
                <w:szCs w:val="20"/>
              </w:rPr>
              <w:t>Attention must be taken not to coat any locking mechanisms, sight holes, viewing panels, and other door furniture.</w:t>
            </w:r>
          </w:p>
          <w:p w14:paraId="16B8843A" w14:textId="0C722775" w:rsidR="00D55400" w:rsidRPr="00BF39EC" w:rsidRDefault="00BF39EC" w:rsidP="00BF39EC">
            <w:pPr>
              <w:spacing w:after="160"/>
              <w:rPr>
                <w:b/>
                <w:bCs/>
                <w:sz w:val="20"/>
                <w:szCs w:val="20"/>
              </w:rPr>
            </w:pPr>
            <w:r w:rsidRPr="00BF39EC">
              <w:rPr>
                <w:b/>
                <w:bCs/>
                <w:sz w:val="20"/>
                <w:szCs w:val="20"/>
              </w:rPr>
              <w:t>If in doubt – ask. We are happy to advise.</w:t>
            </w:r>
          </w:p>
          <w:p w14:paraId="7DCC0FF6" w14:textId="77777777" w:rsidR="009378EC" w:rsidRPr="00F26F0E" w:rsidRDefault="009378EC" w:rsidP="006D3ED5">
            <w:pPr>
              <w:spacing w:line="259" w:lineRule="auto"/>
              <w:rPr>
                <w:sz w:val="20"/>
                <w:szCs w:val="20"/>
              </w:rPr>
            </w:pPr>
            <w:r w:rsidRPr="00F26F0E">
              <w:rPr>
                <w:sz w:val="20"/>
                <w:szCs w:val="20"/>
              </w:rPr>
              <w:t>Failure to comply with a the above could result in the work being corrected and the tenant bearing the cost of the work.</w:t>
            </w:r>
          </w:p>
          <w:p w14:paraId="188D4602" w14:textId="77777777" w:rsidR="009378EC" w:rsidRDefault="009378EC" w:rsidP="006D3ED5">
            <w:pPr>
              <w:numPr>
                <w:ilvl w:val="0"/>
                <w:numId w:val="3"/>
              </w:numPr>
              <w:spacing w:line="259" w:lineRule="auto"/>
              <w:rPr>
                <w:sz w:val="20"/>
                <w:szCs w:val="20"/>
              </w:rPr>
            </w:pPr>
            <w:r w:rsidRPr="00F26F0E">
              <w:rPr>
                <w:sz w:val="20"/>
                <w:szCs w:val="20"/>
              </w:rPr>
              <w:t>Details of proposed materials used must be included in the application.</w:t>
            </w:r>
          </w:p>
          <w:p w14:paraId="7EC37518" w14:textId="77777777" w:rsidR="009378EC" w:rsidRPr="00F26F0E" w:rsidRDefault="009378EC" w:rsidP="006D3ED5">
            <w:pPr>
              <w:numPr>
                <w:ilvl w:val="0"/>
                <w:numId w:val="3"/>
              </w:numPr>
              <w:spacing w:line="259" w:lineRule="auto"/>
              <w:rPr>
                <w:sz w:val="20"/>
                <w:szCs w:val="20"/>
              </w:rPr>
            </w:pPr>
            <w:r w:rsidRPr="00064B93">
              <w:rPr>
                <w:sz w:val="20"/>
                <w:szCs w:val="20"/>
              </w:rPr>
              <w:lastRenderedPageBreak/>
              <w:t xml:space="preserve">North Tyneside Council will not support applications to paint any fences </w:t>
            </w:r>
            <w:r>
              <w:rPr>
                <w:sz w:val="20"/>
                <w:szCs w:val="20"/>
              </w:rPr>
              <w:t>where fencing has been installed by the council and is of an intentional uniform design.</w:t>
            </w:r>
          </w:p>
          <w:p w14:paraId="2B7006AB" w14:textId="77777777" w:rsidR="009378EC" w:rsidRPr="00F26F0E" w:rsidRDefault="009378EC" w:rsidP="006D3ED5">
            <w:pPr>
              <w:numPr>
                <w:ilvl w:val="0"/>
                <w:numId w:val="3"/>
              </w:numPr>
              <w:spacing w:line="259" w:lineRule="auto"/>
              <w:rPr>
                <w:sz w:val="20"/>
                <w:szCs w:val="20"/>
              </w:rPr>
            </w:pPr>
            <w:r w:rsidRPr="00F26F0E">
              <w:rPr>
                <w:sz w:val="20"/>
                <w:szCs w:val="20"/>
              </w:rPr>
              <w:t>Where a fence or wall does not belong to the Council, approval will not be given to paint, treat or carry any work without written permission from the owner.</w:t>
            </w:r>
          </w:p>
          <w:p w14:paraId="03BC85CC" w14:textId="77777777" w:rsidR="009378EC" w:rsidRPr="00F26F0E" w:rsidRDefault="009378EC" w:rsidP="006D3ED5">
            <w:pPr>
              <w:spacing w:line="259" w:lineRule="auto"/>
              <w:rPr>
                <w:sz w:val="20"/>
                <w:szCs w:val="20"/>
              </w:rPr>
            </w:pPr>
          </w:p>
        </w:tc>
        <w:tc>
          <w:tcPr>
            <w:tcW w:w="3124" w:type="dxa"/>
            <w:shd w:val="clear" w:color="auto" w:fill="auto"/>
          </w:tcPr>
          <w:p w14:paraId="72659502" w14:textId="77777777" w:rsidR="009378EC" w:rsidRPr="00F26F0E" w:rsidRDefault="009378EC" w:rsidP="006D3ED5">
            <w:pPr>
              <w:spacing w:line="259" w:lineRule="auto"/>
              <w:rPr>
                <w:b/>
                <w:bCs/>
                <w:sz w:val="20"/>
                <w:szCs w:val="20"/>
              </w:rPr>
            </w:pPr>
            <w:r w:rsidRPr="00F26F0E">
              <w:rPr>
                <w:b/>
                <w:bCs/>
                <w:sz w:val="20"/>
                <w:szCs w:val="20"/>
              </w:rPr>
              <w:lastRenderedPageBreak/>
              <w:t>TENANT.</w:t>
            </w:r>
          </w:p>
          <w:p w14:paraId="3E126CE1" w14:textId="77777777" w:rsidR="009378EC" w:rsidRPr="00F26F0E" w:rsidRDefault="009378EC" w:rsidP="006D3ED5">
            <w:pPr>
              <w:spacing w:line="259" w:lineRule="auto"/>
              <w:rPr>
                <w:sz w:val="20"/>
                <w:szCs w:val="20"/>
              </w:rPr>
            </w:pPr>
            <w:r w:rsidRPr="00F26F0E">
              <w:rPr>
                <w:sz w:val="20"/>
                <w:szCs w:val="20"/>
              </w:rPr>
              <w:t>Condition of approval requires that the tenant who applies for the approval is solely responsible for repairs, maintenance, and related upkeep of the work, in line with Section 9.3.1 of the Tenancy Agreement for the duration of their tenancy.</w:t>
            </w:r>
          </w:p>
          <w:p w14:paraId="63E7D704" w14:textId="77777777" w:rsidR="009378EC" w:rsidRPr="00F26F0E" w:rsidRDefault="009378EC" w:rsidP="006D3ED5">
            <w:pPr>
              <w:spacing w:line="259" w:lineRule="auto"/>
              <w:rPr>
                <w:sz w:val="20"/>
                <w:szCs w:val="20"/>
              </w:rPr>
            </w:pPr>
            <w:r w:rsidRPr="00F26F0E">
              <w:rPr>
                <w:sz w:val="20"/>
                <w:szCs w:val="20"/>
              </w:rPr>
              <w:t>Painting does not qualify under the Compensation for Improvements Regulations.</w:t>
            </w:r>
          </w:p>
        </w:tc>
        <w:tc>
          <w:tcPr>
            <w:tcW w:w="1984" w:type="dxa"/>
          </w:tcPr>
          <w:p w14:paraId="5030A824" w14:textId="77777777" w:rsidR="009378EC" w:rsidRPr="00F26F0E" w:rsidRDefault="009378EC" w:rsidP="006D3ED5">
            <w:pPr>
              <w:spacing w:line="259" w:lineRule="auto"/>
              <w:rPr>
                <w:sz w:val="20"/>
                <w:szCs w:val="20"/>
              </w:rPr>
            </w:pPr>
            <w:r w:rsidRPr="00F26F0E">
              <w:rPr>
                <w:sz w:val="20"/>
                <w:szCs w:val="20"/>
              </w:rPr>
              <w:t>Advice on workmanship:</w:t>
            </w:r>
          </w:p>
          <w:p w14:paraId="75AF584C" w14:textId="77777777" w:rsidR="009378EC" w:rsidRPr="00F26F0E" w:rsidRDefault="00C85B48" w:rsidP="006D3ED5">
            <w:pPr>
              <w:spacing w:line="259" w:lineRule="auto"/>
              <w:rPr>
                <w:sz w:val="20"/>
                <w:szCs w:val="20"/>
              </w:rPr>
            </w:pPr>
            <w:hyperlink r:id="rId5" w:history="1">
              <w:r w:rsidR="009378EC" w:rsidRPr="00F26F0E">
                <w:rPr>
                  <w:rStyle w:val="Hyperlink"/>
                  <w:sz w:val="20"/>
                  <w:szCs w:val="20"/>
                </w:rPr>
                <w:t>Merged Approved Documents</w:t>
              </w:r>
            </w:hyperlink>
          </w:p>
        </w:tc>
        <w:tc>
          <w:tcPr>
            <w:tcW w:w="1418" w:type="dxa"/>
          </w:tcPr>
          <w:p w14:paraId="62DB590A" w14:textId="77777777" w:rsidR="009378EC" w:rsidRPr="00F26F0E" w:rsidRDefault="009378EC" w:rsidP="006D3ED5">
            <w:pPr>
              <w:spacing w:line="259" w:lineRule="auto"/>
              <w:rPr>
                <w:sz w:val="20"/>
                <w:szCs w:val="20"/>
              </w:rPr>
            </w:pPr>
            <w:r w:rsidRPr="00F26F0E">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A746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10C7"/>
    <w:multiLevelType w:val="multilevel"/>
    <w:tmpl w:val="172AF2D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7DA14A4"/>
    <w:multiLevelType w:val="multilevel"/>
    <w:tmpl w:val="8388898C"/>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DC7AEB"/>
    <w:multiLevelType w:val="hybridMultilevel"/>
    <w:tmpl w:val="D14AB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4"/>
  </w:num>
  <w:num w:numId="2" w16cid:durableId="458495598">
    <w:abstractNumId w:val="1"/>
  </w:num>
  <w:num w:numId="3" w16cid:durableId="1444424399">
    <w:abstractNumId w:val="0"/>
  </w:num>
  <w:num w:numId="4" w16cid:durableId="1567104097">
    <w:abstractNumId w:val="3"/>
  </w:num>
  <w:num w:numId="5" w16cid:durableId="64867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287821"/>
    <w:rsid w:val="00290045"/>
    <w:rsid w:val="002905F6"/>
    <w:rsid w:val="00655705"/>
    <w:rsid w:val="006D3ED5"/>
    <w:rsid w:val="00811F2F"/>
    <w:rsid w:val="009378EC"/>
    <w:rsid w:val="00A746DE"/>
    <w:rsid w:val="00BF39EC"/>
    <w:rsid w:val="00C85B48"/>
    <w:rsid w:val="00D55400"/>
    <w:rsid w:val="00F9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 w:type="paragraph" w:styleId="ListParagraph">
    <w:name w:val="List Paragraph"/>
    <w:basedOn w:val="Normal"/>
    <w:uiPriority w:val="34"/>
    <w:qFormat/>
    <w:rsid w:val="00F90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publishing.service.gov.uk/government/uploads/system/uploads/attachment_data/file/1082748/Merged_Approved_Documents__Jun2022_.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5</cp:revision>
  <dcterms:created xsi:type="dcterms:W3CDTF">2024-04-22T10:42:00Z</dcterms:created>
  <dcterms:modified xsi:type="dcterms:W3CDTF">2024-05-13T09:11:00Z</dcterms:modified>
</cp:coreProperties>
</file>