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540"/>
        <w:tblW w:w="15026" w:type="dxa"/>
        <w:tblLayout w:type="fixed"/>
        <w:tblLook w:val="04A0" w:firstRow="1" w:lastRow="0" w:firstColumn="1" w:lastColumn="0" w:noHBand="0" w:noVBand="1"/>
      </w:tblPr>
      <w:tblGrid>
        <w:gridCol w:w="1696"/>
        <w:gridCol w:w="6804"/>
        <w:gridCol w:w="3124"/>
        <w:gridCol w:w="1984"/>
        <w:gridCol w:w="1418"/>
      </w:tblGrid>
      <w:tr w:rsidR="009430B2" w:rsidRPr="00F26F0E" w14:paraId="2231C939" w14:textId="77777777" w:rsidTr="00DA3122">
        <w:tc>
          <w:tcPr>
            <w:tcW w:w="1696" w:type="dxa"/>
            <w:shd w:val="clear" w:color="auto" w:fill="FFFF00"/>
          </w:tcPr>
          <w:p w14:paraId="2928CA51" w14:textId="29E81308" w:rsidR="009430B2" w:rsidRPr="00F26F0E" w:rsidRDefault="009430B2" w:rsidP="00DA3122">
            <w:pPr>
              <w:rPr>
                <w:b/>
                <w:bCs/>
                <w:sz w:val="24"/>
                <w:szCs w:val="24"/>
              </w:rPr>
            </w:pPr>
            <w:r w:rsidRPr="00F26F0E">
              <w:rPr>
                <w:b/>
                <w:bCs/>
                <w:sz w:val="24"/>
                <w:szCs w:val="24"/>
              </w:rPr>
              <w:t>Request</w:t>
            </w:r>
          </w:p>
        </w:tc>
        <w:tc>
          <w:tcPr>
            <w:tcW w:w="6804" w:type="dxa"/>
            <w:shd w:val="clear" w:color="auto" w:fill="FFFF00"/>
          </w:tcPr>
          <w:p w14:paraId="1CE644AB" w14:textId="472EF458" w:rsidR="009430B2" w:rsidRPr="00F26F0E" w:rsidRDefault="009430B2" w:rsidP="00DA3122">
            <w:pPr>
              <w:rPr>
                <w:sz w:val="20"/>
                <w:szCs w:val="20"/>
              </w:rPr>
            </w:pPr>
            <w:r w:rsidRPr="00F26F0E">
              <w:rPr>
                <w:b/>
                <w:bCs/>
                <w:sz w:val="24"/>
                <w:szCs w:val="24"/>
              </w:rPr>
              <w:t>Conditions of approval: installation requirements</w:t>
            </w:r>
          </w:p>
        </w:tc>
        <w:tc>
          <w:tcPr>
            <w:tcW w:w="3124" w:type="dxa"/>
            <w:shd w:val="clear" w:color="auto" w:fill="FFFF00"/>
          </w:tcPr>
          <w:p w14:paraId="48E51349" w14:textId="6F60B705" w:rsidR="009430B2" w:rsidRPr="00F26F0E" w:rsidRDefault="009430B2" w:rsidP="00DA3122">
            <w:pPr>
              <w:rPr>
                <w:b/>
                <w:bCs/>
                <w:sz w:val="20"/>
                <w:szCs w:val="20"/>
              </w:rPr>
            </w:pPr>
            <w:r w:rsidRPr="00F26F0E">
              <w:rPr>
                <w:b/>
                <w:bCs/>
                <w:sz w:val="24"/>
                <w:szCs w:val="24"/>
              </w:rPr>
              <w:t>Conditions of approval: Responsibility for maintenance</w:t>
            </w:r>
          </w:p>
        </w:tc>
        <w:tc>
          <w:tcPr>
            <w:tcW w:w="1984" w:type="dxa"/>
            <w:shd w:val="clear" w:color="auto" w:fill="FFFF00"/>
          </w:tcPr>
          <w:p w14:paraId="1721B615" w14:textId="6C5A3FF6" w:rsidR="009430B2" w:rsidRPr="00F26F0E" w:rsidRDefault="009430B2" w:rsidP="00DA3122">
            <w:pPr>
              <w:rPr>
                <w:sz w:val="20"/>
                <w:szCs w:val="20"/>
              </w:rPr>
            </w:pPr>
            <w:r w:rsidRPr="00F26F0E">
              <w:rPr>
                <w:b/>
                <w:bCs/>
                <w:sz w:val="24"/>
                <w:szCs w:val="24"/>
              </w:rPr>
              <w:t>Reference to external guidance</w:t>
            </w:r>
          </w:p>
        </w:tc>
        <w:tc>
          <w:tcPr>
            <w:tcW w:w="1418" w:type="dxa"/>
            <w:shd w:val="clear" w:color="auto" w:fill="FFFF00"/>
          </w:tcPr>
          <w:p w14:paraId="0352FFF3" w14:textId="5D54B807" w:rsidR="009430B2" w:rsidRPr="00F26F0E" w:rsidRDefault="009430B2" w:rsidP="00DA3122">
            <w:pPr>
              <w:rPr>
                <w:sz w:val="20"/>
                <w:szCs w:val="20"/>
              </w:rPr>
            </w:pPr>
            <w:r w:rsidRPr="00F26F0E">
              <w:rPr>
                <w:b/>
                <w:bCs/>
                <w:sz w:val="24"/>
                <w:szCs w:val="24"/>
              </w:rPr>
              <w:t>Once you have completed the work</w:t>
            </w:r>
          </w:p>
        </w:tc>
      </w:tr>
      <w:tr w:rsidR="00DA3122" w:rsidRPr="00F26F0E" w14:paraId="1BC4A9A1" w14:textId="77777777" w:rsidTr="00DA3122">
        <w:tc>
          <w:tcPr>
            <w:tcW w:w="1696" w:type="dxa"/>
          </w:tcPr>
          <w:p w14:paraId="27DECB4A" w14:textId="50EAD768" w:rsidR="00DA3122" w:rsidRPr="00F26F0E" w:rsidRDefault="00DA3122" w:rsidP="00DA3122">
            <w:pPr>
              <w:spacing w:line="259" w:lineRule="auto"/>
              <w:rPr>
                <w:b/>
                <w:bCs/>
                <w:sz w:val="24"/>
                <w:szCs w:val="24"/>
              </w:rPr>
            </w:pPr>
            <w:r w:rsidRPr="00F26F0E">
              <w:rPr>
                <w:b/>
                <w:bCs/>
                <w:sz w:val="24"/>
                <w:szCs w:val="24"/>
              </w:rPr>
              <w:t>Fencing</w:t>
            </w:r>
          </w:p>
        </w:tc>
        <w:tc>
          <w:tcPr>
            <w:tcW w:w="6804" w:type="dxa"/>
          </w:tcPr>
          <w:p w14:paraId="5C56A1D9" w14:textId="77777777" w:rsidR="00DA3122" w:rsidRDefault="00DA3122" w:rsidP="00DA3122">
            <w:pPr>
              <w:spacing w:line="252" w:lineRule="auto"/>
              <w:rPr>
                <w:b/>
                <w:bCs/>
                <w:sz w:val="20"/>
                <w:szCs w:val="20"/>
              </w:rPr>
            </w:pPr>
            <w:r>
              <w:rPr>
                <w:b/>
                <w:bCs/>
                <w:sz w:val="20"/>
                <w:szCs w:val="20"/>
              </w:rPr>
              <w:t>General installation requirements:</w:t>
            </w:r>
          </w:p>
          <w:p w14:paraId="028BDF59" w14:textId="77777777" w:rsidR="00DA3122" w:rsidRPr="00B15A2D" w:rsidRDefault="00DA3122" w:rsidP="00DA3122">
            <w:pPr>
              <w:numPr>
                <w:ilvl w:val="0"/>
                <w:numId w:val="4"/>
              </w:numPr>
              <w:spacing w:line="252" w:lineRule="auto"/>
              <w:rPr>
                <w:sz w:val="20"/>
                <w:szCs w:val="20"/>
              </w:rPr>
            </w:pPr>
            <w:r>
              <w:rPr>
                <w:sz w:val="20"/>
                <w:szCs w:val="20"/>
              </w:rPr>
              <w:t>Fencing on land intended as “open plan” should be referred to your local Neighbourhood Housing officer for consideration. Please note, open land is not usually part of your tenancy, and as such is not a fixture and fittings matter.</w:t>
            </w:r>
          </w:p>
          <w:p w14:paraId="4B0400D2" w14:textId="77777777" w:rsidR="00DA3122" w:rsidRPr="00F26F0E" w:rsidRDefault="00DA3122" w:rsidP="00DA3122">
            <w:pPr>
              <w:numPr>
                <w:ilvl w:val="0"/>
                <w:numId w:val="3"/>
              </w:numPr>
              <w:spacing w:line="259" w:lineRule="auto"/>
              <w:rPr>
                <w:sz w:val="20"/>
                <w:szCs w:val="20"/>
              </w:rPr>
            </w:pPr>
            <w:r w:rsidRPr="00F26F0E">
              <w:rPr>
                <w:sz w:val="20"/>
                <w:szCs w:val="20"/>
              </w:rPr>
              <w:t xml:space="preserve">Fences </w:t>
            </w:r>
            <w:r>
              <w:rPr>
                <w:sz w:val="20"/>
                <w:szCs w:val="20"/>
              </w:rPr>
              <w:t>adjacent</w:t>
            </w:r>
            <w:r w:rsidRPr="00F26F0E">
              <w:rPr>
                <w:sz w:val="20"/>
                <w:szCs w:val="20"/>
              </w:rPr>
              <w:t xml:space="preserve"> to a highway used by vehicles (or the footpath of such a highway) must not exceed one metre in height (from ground level)</w:t>
            </w:r>
          </w:p>
          <w:p w14:paraId="73A04790" w14:textId="77777777" w:rsidR="00DA3122" w:rsidRPr="00F26F0E" w:rsidRDefault="00DA3122" w:rsidP="00DA3122">
            <w:pPr>
              <w:numPr>
                <w:ilvl w:val="0"/>
                <w:numId w:val="3"/>
              </w:numPr>
              <w:spacing w:line="259" w:lineRule="auto"/>
              <w:rPr>
                <w:sz w:val="20"/>
                <w:szCs w:val="20"/>
              </w:rPr>
            </w:pPr>
            <w:r w:rsidRPr="00F26F0E">
              <w:rPr>
                <w:sz w:val="20"/>
                <w:szCs w:val="20"/>
              </w:rPr>
              <w:t>All other fences must not exceed two metres in height (from ground level)</w:t>
            </w:r>
          </w:p>
          <w:p w14:paraId="66E656E5" w14:textId="4E0F0616" w:rsidR="00DA3122" w:rsidRPr="00F26F0E" w:rsidRDefault="00DA3122" w:rsidP="00DA3122">
            <w:pPr>
              <w:numPr>
                <w:ilvl w:val="0"/>
                <w:numId w:val="3"/>
              </w:numPr>
              <w:spacing w:line="259" w:lineRule="auto"/>
              <w:rPr>
                <w:sz w:val="20"/>
                <w:szCs w:val="20"/>
              </w:rPr>
            </w:pPr>
            <w:r w:rsidRPr="00F26F0E">
              <w:rPr>
                <w:sz w:val="20"/>
                <w:szCs w:val="20"/>
              </w:rPr>
              <w:t>Where an existing fence, wall or gate already exceeds the limits above, its height should not be increased and may be required to be reduced in height or removed</w:t>
            </w:r>
            <w:r>
              <w:rPr>
                <w:sz w:val="20"/>
                <w:szCs w:val="20"/>
              </w:rPr>
              <w:t>.</w:t>
            </w:r>
          </w:p>
          <w:p w14:paraId="2DA08B80" w14:textId="3169691D" w:rsidR="00DA3122" w:rsidRPr="00F26F0E" w:rsidRDefault="00DA3122" w:rsidP="00DA3122">
            <w:pPr>
              <w:numPr>
                <w:ilvl w:val="0"/>
                <w:numId w:val="3"/>
              </w:numPr>
              <w:spacing w:line="259" w:lineRule="auto"/>
              <w:rPr>
                <w:sz w:val="20"/>
                <w:szCs w:val="20"/>
              </w:rPr>
            </w:pPr>
            <w:r w:rsidRPr="00F26F0E">
              <w:rPr>
                <w:sz w:val="20"/>
                <w:szCs w:val="20"/>
              </w:rPr>
              <w:t>Planning Permission must be sought if the fence is to be erected or removed in or neighbouring a listed building, within a conservation area, or if the right to erect or remove a fence is removed under is under an article four direction or a restrictive planning condition</w:t>
            </w:r>
            <w:r>
              <w:rPr>
                <w:sz w:val="20"/>
                <w:szCs w:val="20"/>
              </w:rPr>
              <w:t>.</w:t>
            </w:r>
          </w:p>
          <w:p w14:paraId="03146E18" w14:textId="33F23F53" w:rsidR="00DA3122" w:rsidRPr="00F26F0E" w:rsidRDefault="00DA3122" w:rsidP="00DA3122">
            <w:pPr>
              <w:numPr>
                <w:ilvl w:val="0"/>
                <w:numId w:val="3"/>
              </w:numPr>
              <w:spacing w:line="259" w:lineRule="auto"/>
              <w:rPr>
                <w:sz w:val="20"/>
                <w:szCs w:val="20"/>
              </w:rPr>
            </w:pPr>
            <w:r w:rsidRPr="00F26F0E">
              <w:rPr>
                <w:sz w:val="20"/>
                <w:szCs w:val="20"/>
              </w:rPr>
              <w:t>Fences that will serve as a line of division between two properties must follow the established boundary line</w:t>
            </w:r>
            <w:r>
              <w:rPr>
                <w:sz w:val="20"/>
                <w:szCs w:val="20"/>
              </w:rPr>
              <w:t>.</w:t>
            </w:r>
          </w:p>
          <w:p w14:paraId="41D031DC" w14:textId="77777777" w:rsidR="00DA3122" w:rsidRPr="00F26F0E" w:rsidRDefault="00DA3122" w:rsidP="00DA3122">
            <w:pPr>
              <w:numPr>
                <w:ilvl w:val="0"/>
                <w:numId w:val="3"/>
              </w:numPr>
              <w:spacing w:line="259" w:lineRule="auto"/>
              <w:rPr>
                <w:sz w:val="20"/>
                <w:szCs w:val="20"/>
              </w:rPr>
            </w:pPr>
            <w:r w:rsidRPr="00F26F0E">
              <w:rPr>
                <w:sz w:val="20"/>
                <w:szCs w:val="20"/>
              </w:rPr>
              <w:t xml:space="preserve">Fencing installations must be structurally sound, self-supporting, and not fastened to any facet of a neighbouring property. The standard of construction must meet North Tyneside Council’s </w:t>
            </w:r>
            <w:r w:rsidRPr="00F26F0E">
              <w:rPr>
                <w:i/>
                <w:iCs/>
                <w:sz w:val="20"/>
                <w:szCs w:val="20"/>
              </w:rPr>
              <w:t>Scope of Works: Fencing Replacements</w:t>
            </w:r>
            <w:r w:rsidRPr="00F26F0E">
              <w:rPr>
                <w:sz w:val="20"/>
                <w:szCs w:val="20"/>
              </w:rPr>
              <w:t xml:space="preserve"> document (available on request) </w:t>
            </w:r>
          </w:p>
          <w:p w14:paraId="69DB4907" w14:textId="77777777" w:rsidR="00DA3122" w:rsidRPr="00F26F0E" w:rsidRDefault="00DA3122" w:rsidP="00DA3122">
            <w:pPr>
              <w:spacing w:line="259" w:lineRule="auto"/>
              <w:rPr>
                <w:sz w:val="20"/>
                <w:szCs w:val="20"/>
              </w:rPr>
            </w:pPr>
          </w:p>
        </w:tc>
        <w:tc>
          <w:tcPr>
            <w:tcW w:w="3124" w:type="dxa"/>
            <w:shd w:val="clear" w:color="auto" w:fill="auto"/>
          </w:tcPr>
          <w:p w14:paraId="388F5AF9" w14:textId="77777777" w:rsidR="00DA3122" w:rsidRDefault="00DA3122" w:rsidP="00DA3122">
            <w:pPr>
              <w:spacing w:line="259" w:lineRule="auto"/>
              <w:rPr>
                <w:b/>
                <w:bCs/>
                <w:sz w:val="20"/>
                <w:szCs w:val="20"/>
              </w:rPr>
            </w:pPr>
            <w:r w:rsidRPr="00F26F0E">
              <w:rPr>
                <w:b/>
                <w:bCs/>
                <w:sz w:val="20"/>
                <w:szCs w:val="20"/>
              </w:rPr>
              <w:t>TENANT</w:t>
            </w:r>
            <w:r>
              <w:rPr>
                <w:b/>
                <w:bCs/>
                <w:sz w:val="20"/>
                <w:szCs w:val="20"/>
              </w:rPr>
              <w:t xml:space="preserve"> (If installed to their specifications) </w:t>
            </w:r>
            <w:r w:rsidRPr="00E9777A">
              <w:rPr>
                <w:sz w:val="20"/>
                <w:szCs w:val="20"/>
              </w:rPr>
              <w:t>and</w:t>
            </w:r>
          </w:p>
          <w:p w14:paraId="6EA1C2D1" w14:textId="77777777" w:rsidR="00DA3122" w:rsidRPr="00F26F0E" w:rsidRDefault="00DA3122" w:rsidP="00DA3122">
            <w:pPr>
              <w:spacing w:line="259" w:lineRule="auto"/>
              <w:rPr>
                <w:b/>
                <w:bCs/>
                <w:sz w:val="20"/>
                <w:szCs w:val="20"/>
              </w:rPr>
            </w:pPr>
            <w:r>
              <w:rPr>
                <w:b/>
                <w:bCs/>
                <w:sz w:val="20"/>
                <w:szCs w:val="20"/>
              </w:rPr>
              <w:t>COUNCIL (If installed to the Council fencing specification)</w:t>
            </w:r>
          </w:p>
          <w:p w14:paraId="4EBBCD40" w14:textId="77777777" w:rsidR="00DA3122" w:rsidRDefault="00DA3122" w:rsidP="00DA3122">
            <w:pPr>
              <w:spacing w:line="259" w:lineRule="auto"/>
              <w:rPr>
                <w:sz w:val="20"/>
                <w:szCs w:val="20"/>
              </w:rPr>
            </w:pPr>
            <w:r w:rsidRPr="00F26F0E">
              <w:rPr>
                <w:sz w:val="20"/>
                <w:szCs w:val="20"/>
              </w:rPr>
              <w:t xml:space="preserve">Condition of approval </w:t>
            </w:r>
            <w:r>
              <w:rPr>
                <w:sz w:val="20"/>
                <w:szCs w:val="20"/>
              </w:rPr>
              <w:t>will be on the basis that if the installation does not adhere to North Tyneside Council’s fencing specifications, then</w:t>
            </w:r>
            <w:r w:rsidRPr="00F26F0E">
              <w:rPr>
                <w:sz w:val="20"/>
                <w:szCs w:val="20"/>
              </w:rPr>
              <w:t xml:space="preserve"> the </w:t>
            </w:r>
            <w:r>
              <w:rPr>
                <w:sz w:val="20"/>
                <w:szCs w:val="20"/>
              </w:rPr>
              <w:t>applicant is</w:t>
            </w:r>
            <w:r w:rsidRPr="00F26F0E">
              <w:rPr>
                <w:sz w:val="20"/>
                <w:szCs w:val="20"/>
              </w:rPr>
              <w:t xml:space="preserve"> solely responsible for repairs, maintenance, and related upkeep of the installation, in line with Section 9.3.1 of the Tenancy Agreement for the duration of their tenancy. </w:t>
            </w:r>
            <w:r>
              <w:rPr>
                <w:sz w:val="20"/>
                <w:szCs w:val="20"/>
              </w:rPr>
              <w:t xml:space="preserve">Fencing installed in accordance with North Tyneside Council’s fencing specifications will be maintained and repaired by the Council. </w:t>
            </w:r>
          </w:p>
          <w:p w14:paraId="15BDFDDF" w14:textId="77777777" w:rsidR="00DA3122" w:rsidRPr="00F26F0E" w:rsidRDefault="00DA3122" w:rsidP="00DA3122">
            <w:pPr>
              <w:spacing w:line="259" w:lineRule="auto"/>
              <w:rPr>
                <w:sz w:val="20"/>
                <w:szCs w:val="20"/>
              </w:rPr>
            </w:pPr>
            <w:r w:rsidRPr="00F26F0E">
              <w:rPr>
                <w:sz w:val="20"/>
                <w:szCs w:val="20"/>
              </w:rPr>
              <w:t>Wayleave agreements must be completed in advance of installation where the erection will prohibit a neighbour carrying out necessary maintenance and repair or enjoying a communal area.</w:t>
            </w:r>
          </w:p>
          <w:p w14:paraId="5B7E7B4A" w14:textId="0F9B5F64" w:rsidR="00DA3122" w:rsidRPr="00F26F0E" w:rsidRDefault="00DA3122" w:rsidP="00DA3122">
            <w:pPr>
              <w:spacing w:line="259" w:lineRule="auto"/>
              <w:rPr>
                <w:sz w:val="20"/>
                <w:szCs w:val="20"/>
              </w:rPr>
            </w:pPr>
            <w:r w:rsidRPr="00F26F0E">
              <w:rPr>
                <w:sz w:val="20"/>
                <w:szCs w:val="20"/>
              </w:rPr>
              <w:t>Fences of 2m height and more may qualify under the Compensation for Improvements Regulations as an object that improves security.</w:t>
            </w:r>
          </w:p>
        </w:tc>
        <w:tc>
          <w:tcPr>
            <w:tcW w:w="1984" w:type="dxa"/>
          </w:tcPr>
          <w:p w14:paraId="0D6C7B95" w14:textId="77777777" w:rsidR="00DA3122" w:rsidRPr="00F26F0E" w:rsidRDefault="00DA3122" w:rsidP="00DA3122">
            <w:pPr>
              <w:spacing w:line="259" w:lineRule="auto"/>
              <w:rPr>
                <w:sz w:val="20"/>
                <w:szCs w:val="20"/>
              </w:rPr>
            </w:pPr>
            <w:r w:rsidRPr="00F26F0E">
              <w:rPr>
                <w:sz w:val="20"/>
                <w:szCs w:val="20"/>
              </w:rPr>
              <w:t>Permitted development rights for</w:t>
            </w:r>
            <w:r>
              <w:rPr>
                <w:sz w:val="20"/>
                <w:szCs w:val="20"/>
              </w:rPr>
              <w:t xml:space="preserve"> </w:t>
            </w:r>
            <w:proofErr w:type="gramStart"/>
            <w:r w:rsidRPr="00F26F0E">
              <w:rPr>
                <w:sz w:val="20"/>
                <w:szCs w:val="20"/>
              </w:rPr>
              <w:t>householders</w:t>
            </w:r>
            <w:proofErr w:type="gramEnd"/>
          </w:p>
          <w:p w14:paraId="15CDC5E5" w14:textId="77777777" w:rsidR="00DA3122" w:rsidRPr="00F26F0E" w:rsidRDefault="00DA3122" w:rsidP="00DA3122">
            <w:pPr>
              <w:spacing w:line="259" w:lineRule="auto"/>
              <w:rPr>
                <w:sz w:val="20"/>
                <w:szCs w:val="20"/>
              </w:rPr>
            </w:pPr>
            <w:r w:rsidRPr="00F26F0E">
              <w:rPr>
                <w:sz w:val="20"/>
                <w:szCs w:val="20"/>
              </w:rPr>
              <w:t>Technical Guidance</w:t>
            </w:r>
          </w:p>
          <w:p w14:paraId="122D8F9A" w14:textId="77777777" w:rsidR="00DA3122" w:rsidRPr="00F26F0E" w:rsidRDefault="00DA3122" w:rsidP="00DA3122">
            <w:pPr>
              <w:spacing w:line="259" w:lineRule="auto"/>
              <w:rPr>
                <w:sz w:val="20"/>
                <w:szCs w:val="20"/>
              </w:rPr>
            </w:pPr>
            <w:hyperlink r:id="rId5" w:history="1">
              <w:r w:rsidRPr="00F26F0E">
                <w:rPr>
                  <w:rStyle w:val="Hyperlink"/>
                  <w:sz w:val="20"/>
                  <w:szCs w:val="20"/>
                </w:rPr>
                <w:t>Click here for Permitted Development</w:t>
              </w:r>
            </w:hyperlink>
          </w:p>
          <w:p w14:paraId="78EABD44" w14:textId="77777777" w:rsidR="00DA3122" w:rsidRPr="00F26F0E" w:rsidRDefault="00DA3122" w:rsidP="00DA3122">
            <w:pPr>
              <w:spacing w:line="259" w:lineRule="auto"/>
              <w:rPr>
                <w:sz w:val="20"/>
                <w:szCs w:val="20"/>
              </w:rPr>
            </w:pPr>
          </w:p>
          <w:p w14:paraId="606BCDFD" w14:textId="77777777" w:rsidR="00DA3122" w:rsidRPr="00F26F0E" w:rsidRDefault="00DA3122" w:rsidP="00DA3122">
            <w:pPr>
              <w:spacing w:line="259" w:lineRule="auto"/>
              <w:rPr>
                <w:sz w:val="20"/>
                <w:szCs w:val="20"/>
              </w:rPr>
            </w:pPr>
            <w:r w:rsidRPr="00F26F0E">
              <w:rPr>
                <w:sz w:val="20"/>
                <w:szCs w:val="20"/>
              </w:rPr>
              <w:t xml:space="preserve">Planning Portal: Fences, </w:t>
            </w:r>
            <w:proofErr w:type="gramStart"/>
            <w:r w:rsidRPr="00F26F0E">
              <w:rPr>
                <w:sz w:val="20"/>
                <w:szCs w:val="20"/>
              </w:rPr>
              <w:t>gates</w:t>
            </w:r>
            <w:proofErr w:type="gramEnd"/>
            <w:r w:rsidRPr="00F26F0E">
              <w:rPr>
                <w:sz w:val="20"/>
                <w:szCs w:val="20"/>
              </w:rPr>
              <w:t xml:space="preserve"> and gardens walls</w:t>
            </w:r>
          </w:p>
          <w:p w14:paraId="22CA5F85" w14:textId="77777777" w:rsidR="00DA3122" w:rsidRDefault="00DA3122" w:rsidP="00DA3122">
            <w:pPr>
              <w:spacing w:line="259" w:lineRule="auto"/>
              <w:rPr>
                <w:rStyle w:val="Hyperlink"/>
                <w:sz w:val="20"/>
                <w:szCs w:val="20"/>
              </w:rPr>
            </w:pPr>
            <w:hyperlink r:id="rId6" w:history="1">
              <w:r w:rsidRPr="00F26F0E">
                <w:rPr>
                  <w:rStyle w:val="Hyperlink"/>
                  <w:sz w:val="20"/>
                  <w:szCs w:val="20"/>
                </w:rPr>
                <w:t>Click here for Planning Portal - fences</w:t>
              </w:r>
            </w:hyperlink>
          </w:p>
          <w:p w14:paraId="48BF276A" w14:textId="77777777" w:rsidR="00DA3122" w:rsidRPr="00F26F0E" w:rsidRDefault="00DA3122" w:rsidP="00DA3122">
            <w:pPr>
              <w:spacing w:line="259" w:lineRule="auto"/>
              <w:rPr>
                <w:sz w:val="20"/>
                <w:szCs w:val="20"/>
              </w:rPr>
            </w:pPr>
          </w:p>
          <w:p w14:paraId="6857ECE4" w14:textId="77777777" w:rsidR="00DA3122" w:rsidRPr="00F26F0E" w:rsidRDefault="00DA3122" w:rsidP="00DA3122">
            <w:pPr>
              <w:spacing w:line="259" w:lineRule="auto"/>
              <w:rPr>
                <w:sz w:val="20"/>
                <w:szCs w:val="20"/>
              </w:rPr>
            </w:pPr>
            <w:r w:rsidRPr="00F26F0E">
              <w:rPr>
                <w:sz w:val="20"/>
                <w:szCs w:val="20"/>
              </w:rPr>
              <w:t>North Tyneside Council - Tree Preservation Orders, Article 4 Direction and Conservation Areas</w:t>
            </w:r>
          </w:p>
          <w:p w14:paraId="7EC5F4C9" w14:textId="1027C970" w:rsidR="00DA3122" w:rsidRPr="00F26F0E" w:rsidRDefault="00DA3122" w:rsidP="00DA3122">
            <w:pPr>
              <w:spacing w:line="259" w:lineRule="auto"/>
              <w:rPr>
                <w:sz w:val="20"/>
                <w:szCs w:val="20"/>
              </w:rPr>
            </w:pPr>
            <w:hyperlink r:id="rId7" w:history="1">
              <w:r w:rsidRPr="00F26F0E">
                <w:rPr>
                  <w:rStyle w:val="Hyperlink"/>
                  <w:sz w:val="20"/>
                  <w:szCs w:val="20"/>
                </w:rPr>
                <w:t>Click here for Conservation Map of North Tyneside</w:t>
              </w:r>
            </w:hyperlink>
          </w:p>
        </w:tc>
        <w:tc>
          <w:tcPr>
            <w:tcW w:w="1418" w:type="dxa"/>
            <w:shd w:val="clear" w:color="auto" w:fill="FFFFFF" w:themeFill="background1"/>
          </w:tcPr>
          <w:p w14:paraId="0B4CC8EC" w14:textId="5B0C7758" w:rsidR="00DA3122" w:rsidRPr="00F26F0E" w:rsidRDefault="00DA3122" w:rsidP="00DA3122">
            <w:pPr>
              <w:spacing w:line="259" w:lineRule="auto"/>
              <w:rPr>
                <w:sz w:val="20"/>
                <w:szCs w:val="20"/>
              </w:rPr>
            </w:pPr>
            <w:r w:rsidRPr="00F26F0E">
              <w:rPr>
                <w:sz w:val="20"/>
                <w:szCs w:val="20"/>
              </w:rPr>
              <w:t>Please email us with the completion details, any necessary certificates and warranty details. We may contact you to carry out a post-inspection.</w:t>
            </w:r>
          </w:p>
        </w:tc>
      </w:tr>
    </w:tbl>
    <w:p w14:paraId="5A785AB3" w14:textId="77777777" w:rsidR="002905F6" w:rsidRDefault="002905F6"/>
    <w:sectPr w:rsidR="002905F6" w:rsidSect="00811F2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B01D0"/>
    <w:multiLevelType w:val="multilevel"/>
    <w:tmpl w:val="3A146B5E"/>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E8165D4"/>
    <w:multiLevelType w:val="multilevel"/>
    <w:tmpl w:val="37F89E10"/>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694F3929"/>
    <w:multiLevelType w:val="multilevel"/>
    <w:tmpl w:val="48A2C592"/>
    <w:lvl w:ilvl="0">
      <w:start w:val="1"/>
      <w:numFmt w:val="bullet"/>
      <w:lvlText w:val=""/>
      <w:lvlJc w:val="left"/>
      <w:pPr>
        <w:ind w:left="170" w:hanging="170"/>
      </w:pPr>
      <w:rPr>
        <w:rFonts w:ascii="Symbol" w:hAnsi="Symbol" w:hint="default"/>
        <w:color w:val="000000" w:themeColor="text1"/>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887714086">
    <w:abstractNumId w:val="2"/>
  </w:num>
  <w:num w:numId="2" w16cid:durableId="458495598">
    <w:abstractNumId w:val="1"/>
  </w:num>
  <w:num w:numId="3" w16cid:durableId="1008213087">
    <w:abstractNumId w:val="0"/>
  </w:num>
  <w:num w:numId="4" w16cid:durableId="46296654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2F"/>
    <w:rsid w:val="00290045"/>
    <w:rsid w:val="002905F6"/>
    <w:rsid w:val="00811F2F"/>
    <w:rsid w:val="009430B2"/>
    <w:rsid w:val="00DA3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0FBF"/>
  <w15:chartTrackingRefBased/>
  <w15:docId w15:val="{7D2F8484-89CD-4234-94EA-5AC2123A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2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F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1F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tcouncil.maps.arcgis.com/apps/webappviewer/index.html?id=b53d848ca4d4460ab2738d6495022a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nningportal.co.uk/permission/common-projects/fences-gates-and-garden-walls/planning-permission" TargetMode="External"/><Relationship Id="rId5" Type="http://schemas.openxmlformats.org/officeDocument/2006/relationships/hyperlink" Target="https://assets.publishing.service.gov.uk/government/uploads/system/uploads/attachment_data/file/830643/190910_Tech_Guide_for_publishing.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483</Words>
  <Characters>2757</Characters>
  <Application>Microsoft Office Word</Application>
  <DocSecurity>0</DocSecurity>
  <Lines>22</Lines>
  <Paragraphs>6</Paragraphs>
  <ScaleCrop>false</ScaleCrop>
  <Company>NTC</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Burns</dc:creator>
  <cp:keywords/>
  <dc:description/>
  <cp:lastModifiedBy>Richard Burns</cp:lastModifiedBy>
  <cp:revision>2</cp:revision>
  <dcterms:created xsi:type="dcterms:W3CDTF">2024-05-13T10:33:00Z</dcterms:created>
  <dcterms:modified xsi:type="dcterms:W3CDTF">2024-05-13T10:33:00Z</dcterms:modified>
</cp:coreProperties>
</file>